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E4" w:rsidRPr="000574E4" w:rsidRDefault="000574E4" w:rsidP="0065241C">
      <w:pPr>
        <w:pStyle w:val="ListParagraph"/>
        <w:spacing w:after="240"/>
        <w:ind w:left="1060"/>
        <w:jc w:val="right"/>
        <w:rPr>
          <w:rFonts w:ascii="Segoe Print" w:hAnsi="Segoe Print"/>
          <w:sz w:val="24"/>
          <w:szCs w:val="24"/>
        </w:rPr>
      </w:pPr>
      <w:bookmarkStart w:id="0" w:name="_GoBack"/>
      <w:bookmarkEnd w:id="0"/>
      <w:r w:rsidRPr="000574E4">
        <w:rPr>
          <w:rFonts w:ascii="Segoe Print" w:hAnsi="Segoe Print"/>
          <w:sz w:val="24"/>
          <w:szCs w:val="24"/>
        </w:rPr>
        <w:t>Χριστιάνα Ανδρέου</w:t>
      </w:r>
      <w:r>
        <w:rPr>
          <w:rFonts w:ascii="Segoe Print" w:hAnsi="Segoe Print"/>
          <w:sz w:val="24"/>
          <w:szCs w:val="24"/>
        </w:rPr>
        <w:t>, 17/12/13</w:t>
      </w:r>
    </w:p>
    <w:p w:rsidR="00E7164C" w:rsidRPr="000574E4" w:rsidRDefault="00870C8B" w:rsidP="006757FF">
      <w:pPr>
        <w:jc w:val="center"/>
        <w:rPr>
          <w:b/>
          <w:sz w:val="26"/>
          <w:szCs w:val="26"/>
        </w:rPr>
      </w:pPr>
      <w:r w:rsidRPr="000574E4">
        <w:rPr>
          <w:b/>
          <w:sz w:val="26"/>
          <w:szCs w:val="26"/>
        </w:rPr>
        <w:t>ΟΔΗΓΙΕΣ ΠΡΟΣ ΤΟΥΣ ΔΙΔΑΣΚΟΝΤΕΣ ΓΙΑ ΤΑ ΦΥΛΛΑ ΕΡΓΑΣΙΑΣ ΤΗΣ ΚΙΝΗΜΑΤΙΚΗΣ</w:t>
      </w:r>
    </w:p>
    <w:p w:rsidR="006757FF" w:rsidRDefault="006757FF" w:rsidP="00822753">
      <w:pPr>
        <w:pStyle w:val="ListParagraph"/>
        <w:numPr>
          <w:ilvl w:val="0"/>
          <w:numId w:val="3"/>
        </w:numPr>
        <w:rPr>
          <w:b/>
          <w:color w:val="FF0000"/>
          <w:sz w:val="24"/>
          <w:szCs w:val="24"/>
        </w:rPr>
      </w:pPr>
      <w:r w:rsidRPr="00822753">
        <w:rPr>
          <w:b/>
          <w:color w:val="FF0000"/>
          <w:sz w:val="24"/>
          <w:szCs w:val="24"/>
        </w:rPr>
        <w:t xml:space="preserve">Τα κόκκινα γράμματα απευθύνονται στον διδάσκοντα. Δείχνουν </w:t>
      </w:r>
      <w:r w:rsidR="00822753" w:rsidRPr="00822753">
        <w:rPr>
          <w:b/>
          <w:color w:val="FF0000"/>
          <w:sz w:val="24"/>
          <w:szCs w:val="24"/>
        </w:rPr>
        <w:t xml:space="preserve">που στοχεύει </w:t>
      </w:r>
      <w:r w:rsidR="000574E4">
        <w:rPr>
          <w:b/>
          <w:color w:val="FF0000"/>
          <w:sz w:val="24"/>
          <w:szCs w:val="24"/>
        </w:rPr>
        <w:t xml:space="preserve">ή τι αναμένεται από </w:t>
      </w:r>
      <w:r w:rsidRPr="00822753">
        <w:rPr>
          <w:b/>
          <w:color w:val="FF0000"/>
          <w:sz w:val="24"/>
          <w:szCs w:val="24"/>
        </w:rPr>
        <w:t xml:space="preserve">κάθε ερώτηση </w:t>
      </w:r>
    </w:p>
    <w:p w:rsidR="00822753" w:rsidRDefault="00822753" w:rsidP="00822753">
      <w:pPr>
        <w:pStyle w:val="ListParagraph"/>
        <w:numPr>
          <w:ilvl w:val="0"/>
          <w:numId w:val="3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Σε κάθε φύλλο εργασίας γίνεται χρήση, όπου είναι δυνατόν, </w:t>
      </w:r>
      <w:r w:rsidR="000574E4">
        <w:rPr>
          <w:b/>
          <w:color w:val="FF0000"/>
          <w:sz w:val="24"/>
          <w:szCs w:val="24"/>
        </w:rPr>
        <w:t>όσο περισσότερης  προϋπάρχουσας γνώσης. Σ</w:t>
      </w:r>
      <w:r>
        <w:rPr>
          <w:b/>
          <w:color w:val="FF0000"/>
          <w:sz w:val="24"/>
          <w:szCs w:val="24"/>
        </w:rPr>
        <w:t xml:space="preserve">την ολοκλήρωσή του </w:t>
      </w:r>
      <w:r w:rsidR="000574E4">
        <w:rPr>
          <w:b/>
          <w:color w:val="FF0000"/>
          <w:sz w:val="24"/>
          <w:szCs w:val="24"/>
        </w:rPr>
        <w:t xml:space="preserve">κάθε ένα </w:t>
      </w:r>
      <w:r>
        <w:rPr>
          <w:b/>
          <w:color w:val="FF0000"/>
          <w:sz w:val="24"/>
          <w:szCs w:val="24"/>
        </w:rPr>
        <w:t xml:space="preserve">προετοιμάζει για το επόμενο. </w:t>
      </w:r>
    </w:p>
    <w:p w:rsidR="00822753" w:rsidRDefault="00822753" w:rsidP="00822753">
      <w:pPr>
        <w:pStyle w:val="ListParagraph"/>
        <w:numPr>
          <w:ilvl w:val="0"/>
          <w:numId w:val="3"/>
        </w:num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Προοδευτικά γίνεται χρήση </w:t>
      </w:r>
      <w:r w:rsidR="000574E4">
        <w:rPr>
          <w:b/>
          <w:color w:val="FF0000"/>
          <w:sz w:val="24"/>
          <w:szCs w:val="24"/>
        </w:rPr>
        <w:t xml:space="preserve">όλων </w:t>
      </w:r>
      <w:r>
        <w:rPr>
          <w:b/>
          <w:color w:val="FF0000"/>
          <w:sz w:val="24"/>
          <w:szCs w:val="24"/>
        </w:rPr>
        <w:t>των δυνατοτήτων των φωτοπυλών και στο τελευταίο ζητείται από τους μαθητές να χρησιμοποιήσουν τα όσα ξέρουν από τα πειράματα κινηματικής για να σχεδιάσουν τουλάχιστον ένα μέρος του.</w:t>
      </w:r>
    </w:p>
    <w:p w:rsidR="00822753" w:rsidRPr="00822753" w:rsidRDefault="00822753" w:rsidP="00822753">
      <w:pPr>
        <w:pStyle w:val="ListParagraph"/>
        <w:rPr>
          <w:b/>
          <w:color w:val="FF0000"/>
          <w:sz w:val="24"/>
          <w:szCs w:val="24"/>
        </w:rPr>
      </w:pPr>
    </w:p>
    <w:p w:rsidR="00870C8B" w:rsidRPr="006757FF" w:rsidRDefault="00870C8B" w:rsidP="006757FF">
      <w:pPr>
        <w:pStyle w:val="ListParagraph"/>
        <w:numPr>
          <w:ilvl w:val="0"/>
          <w:numId w:val="1"/>
        </w:numPr>
        <w:ind w:left="284" w:hanging="284"/>
        <w:contextualSpacing w:val="0"/>
        <w:rPr>
          <w:sz w:val="24"/>
          <w:szCs w:val="24"/>
        </w:rPr>
      </w:pPr>
      <w:r w:rsidRPr="006757FF">
        <w:rPr>
          <w:sz w:val="24"/>
          <w:szCs w:val="24"/>
        </w:rPr>
        <w:t xml:space="preserve">Το πρώτο φύλλο εργασίας είναι αυτό με τον </w:t>
      </w:r>
      <w:r w:rsidR="006757FF" w:rsidRPr="006757FF">
        <w:rPr>
          <w:sz w:val="24"/>
          <w:szCs w:val="24"/>
        </w:rPr>
        <w:t>αριθμό 2. Το πρώτο της κινηματικής σύμφωνα με το αναλυτικό το πείραμα με τον αισθητήρα κίνησης για τη μελέτη των εννοιών θέση και μετατόπιση.</w:t>
      </w:r>
    </w:p>
    <w:p w:rsidR="006757FF" w:rsidRPr="006757FF" w:rsidRDefault="006757FF" w:rsidP="00870C8B">
      <w:pPr>
        <w:pStyle w:val="ListParagraph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6757FF">
        <w:rPr>
          <w:sz w:val="24"/>
          <w:szCs w:val="24"/>
        </w:rPr>
        <w:t xml:space="preserve">Το ίδιο φύλλο εργασίας είναι στην πραγματικότητα δύο πειράματα. </w:t>
      </w:r>
    </w:p>
    <w:p w:rsidR="006757FF" w:rsidRPr="006757FF" w:rsidRDefault="006757FF" w:rsidP="006757FF">
      <w:pPr>
        <w:pStyle w:val="ListParagraph"/>
        <w:numPr>
          <w:ilvl w:val="0"/>
          <w:numId w:val="2"/>
        </w:numPr>
        <w:spacing w:after="120"/>
        <w:ind w:left="1003" w:hanging="357"/>
        <w:contextualSpacing w:val="0"/>
        <w:rPr>
          <w:sz w:val="24"/>
          <w:szCs w:val="24"/>
        </w:rPr>
      </w:pPr>
      <w:r w:rsidRPr="006757FF">
        <w:rPr>
          <w:sz w:val="24"/>
          <w:szCs w:val="24"/>
        </w:rPr>
        <w:t xml:space="preserve">Η δραστηριότητα 1 στοχεύει στη μέτρηση της ταχύτητας, την έννοια ομαλής κίνησης (ίσοι χρόνοι ίσα διαστήματα/μετατοπίσεις) και </w:t>
      </w:r>
      <w:r>
        <w:rPr>
          <w:sz w:val="24"/>
          <w:szCs w:val="24"/>
        </w:rPr>
        <w:t xml:space="preserve">υπάρχει αναφορά </w:t>
      </w:r>
      <w:r w:rsidRPr="006757FF">
        <w:rPr>
          <w:sz w:val="24"/>
          <w:szCs w:val="24"/>
        </w:rPr>
        <w:t xml:space="preserve">και </w:t>
      </w:r>
      <w:r w:rsidR="00822753">
        <w:rPr>
          <w:sz w:val="24"/>
          <w:szCs w:val="24"/>
        </w:rPr>
        <w:t>σ</w:t>
      </w:r>
      <w:r w:rsidRPr="006757FF">
        <w:rPr>
          <w:sz w:val="24"/>
          <w:szCs w:val="24"/>
        </w:rPr>
        <w:t>τις έννοιες μέση και στιγμιαία ταχύτητα</w:t>
      </w:r>
      <w:r w:rsidR="00822753">
        <w:rPr>
          <w:sz w:val="24"/>
          <w:szCs w:val="24"/>
        </w:rPr>
        <w:t>.</w:t>
      </w:r>
      <w:r w:rsidRPr="006757FF">
        <w:rPr>
          <w:sz w:val="24"/>
          <w:szCs w:val="24"/>
        </w:rPr>
        <w:t xml:space="preserve"> </w:t>
      </w:r>
    </w:p>
    <w:p w:rsidR="006757FF" w:rsidRDefault="006757FF" w:rsidP="006757F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57FF">
        <w:rPr>
          <w:sz w:val="24"/>
          <w:szCs w:val="24"/>
        </w:rPr>
        <w:t>Η δραστηριότητα 2</w:t>
      </w:r>
      <w:r>
        <w:rPr>
          <w:sz w:val="24"/>
          <w:szCs w:val="24"/>
        </w:rPr>
        <w:t xml:space="preserve"> αναφέρεται στην επιταχυνόμενη κίνηση και </w:t>
      </w:r>
      <w:r w:rsidR="00822753">
        <w:rPr>
          <w:sz w:val="24"/>
          <w:szCs w:val="24"/>
        </w:rPr>
        <w:t xml:space="preserve">ορίζει την </w:t>
      </w:r>
      <w:r>
        <w:rPr>
          <w:sz w:val="24"/>
          <w:szCs w:val="24"/>
        </w:rPr>
        <w:t xml:space="preserve">έννοια της μέσης ταχύτητας </w:t>
      </w:r>
      <w:r w:rsidR="00822753">
        <w:rPr>
          <w:sz w:val="24"/>
          <w:szCs w:val="24"/>
        </w:rPr>
        <w:t xml:space="preserve">και στιγμιαίας ταχύτητας </w:t>
      </w:r>
      <w:r>
        <w:rPr>
          <w:sz w:val="24"/>
          <w:szCs w:val="24"/>
        </w:rPr>
        <w:t>στην επιτα</w:t>
      </w:r>
      <w:r w:rsidR="00822753">
        <w:rPr>
          <w:sz w:val="24"/>
          <w:szCs w:val="24"/>
        </w:rPr>
        <w:t>χυνόμενη κίνηση όπου και έχει νόημα η χρήση τους.</w:t>
      </w:r>
      <w:r>
        <w:rPr>
          <w:sz w:val="24"/>
          <w:szCs w:val="24"/>
        </w:rPr>
        <w:t xml:space="preserve"> </w:t>
      </w:r>
    </w:p>
    <w:p w:rsidR="006757FF" w:rsidRDefault="00822753" w:rsidP="00822753">
      <w:pPr>
        <w:pStyle w:val="ListParagraph"/>
        <w:numPr>
          <w:ilvl w:val="0"/>
          <w:numId w:val="2"/>
        </w:numPr>
        <w:ind w:left="1003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Στο τέλος της ίδιας δραστηριότητας μένει ανοιχτό το θέμα </w:t>
      </w:r>
      <w:r w:rsidR="0065241C">
        <w:rPr>
          <w:sz w:val="24"/>
          <w:szCs w:val="24"/>
        </w:rPr>
        <w:t xml:space="preserve">προσδιορισμού </w:t>
      </w:r>
      <w:r>
        <w:rPr>
          <w:sz w:val="24"/>
          <w:szCs w:val="24"/>
        </w:rPr>
        <w:t xml:space="preserve">της  </w:t>
      </w:r>
      <w:r w:rsidR="006757FF">
        <w:rPr>
          <w:sz w:val="24"/>
          <w:szCs w:val="24"/>
        </w:rPr>
        <w:t xml:space="preserve">στιγμιαίας ταχύτητας </w:t>
      </w:r>
      <w:r>
        <w:rPr>
          <w:sz w:val="24"/>
          <w:szCs w:val="24"/>
        </w:rPr>
        <w:t>που εξετάζεται στο επόμενο.</w:t>
      </w:r>
    </w:p>
    <w:p w:rsidR="00822753" w:rsidRPr="000574E4" w:rsidRDefault="00822753" w:rsidP="000574E4">
      <w:pPr>
        <w:pStyle w:val="ListParagraph"/>
        <w:numPr>
          <w:ilvl w:val="0"/>
          <w:numId w:val="1"/>
        </w:numPr>
        <w:ind w:left="284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Στο φύλλο εργασίας 3 υπολογίζουν οι μαθητές τη </w:t>
      </w:r>
      <w:r w:rsidR="000574E4">
        <w:rPr>
          <w:sz w:val="24"/>
          <w:szCs w:val="24"/>
        </w:rPr>
        <w:t>μέση</w:t>
      </w:r>
      <w:r>
        <w:rPr>
          <w:sz w:val="24"/>
          <w:szCs w:val="24"/>
        </w:rPr>
        <w:t xml:space="preserve"> ταχύτητα και χαράσσουν την γραφική παράσταση για να δοθεί στο διδάσκοντα η ευκαιρία να ελέγξει το επίπεδο των δυνατοτήτων των μαθητών στη χάραξη γραφικών παραστάσεων από πραγματικές μετρήσεις</w:t>
      </w:r>
      <w:r w:rsidR="000574E4">
        <w:rPr>
          <w:sz w:val="24"/>
          <w:szCs w:val="24"/>
        </w:rPr>
        <w:t xml:space="preserve">. Επίσης, επειδή οι έννοιες μέση και στιγμιαία έχουν αντιμετωπιστεί και σε άλλα πλαίσια </w:t>
      </w:r>
      <w:r w:rsidR="000574E4" w:rsidRPr="000574E4">
        <w:rPr>
          <w:sz w:val="24"/>
          <w:szCs w:val="24"/>
          <w:u w:val="single"/>
        </w:rPr>
        <w:t xml:space="preserve">η έμφαση εδώ </w:t>
      </w:r>
      <w:r w:rsidR="000574E4">
        <w:rPr>
          <w:sz w:val="24"/>
          <w:szCs w:val="24"/>
        </w:rPr>
        <w:t xml:space="preserve">είναι στη γραφική παράσταση και </w:t>
      </w:r>
      <w:r w:rsidR="000574E4" w:rsidRPr="000574E4">
        <w:rPr>
          <w:sz w:val="24"/>
          <w:szCs w:val="24"/>
          <w:u w:val="single"/>
        </w:rPr>
        <w:t>στην προσεγγιστική μέθοδο προσδιορισμού της στιγμιαίας ταχύτητας.</w:t>
      </w:r>
    </w:p>
    <w:p w:rsidR="000574E4" w:rsidRDefault="000574E4" w:rsidP="00822753">
      <w:pPr>
        <w:pStyle w:val="ListParagraph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Στο πείραμα μέτρησης της επιτάχυνσης εισάγεται και ο άλλος τρόπος χρήσης των φωτοπυλών.</w:t>
      </w:r>
    </w:p>
    <w:p w:rsidR="000574E4" w:rsidRPr="000574E4" w:rsidRDefault="000574E4" w:rsidP="000574E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574E4">
        <w:rPr>
          <w:sz w:val="24"/>
          <w:szCs w:val="24"/>
        </w:rPr>
        <w:t>Η εισήγηση για τη γωνία κλίσης μπήκε με το σκεπτικό να επαναληφθεί το ίδιο πείραμα με αισθητήρα δύναμης για την απόδειξη του νόμου του Νεύτωνα και σύγκριση των αποτελεσμάτων.</w:t>
      </w:r>
    </w:p>
    <w:p w:rsidR="000574E4" w:rsidRDefault="000574E4" w:rsidP="000574E4">
      <w:pPr>
        <w:pStyle w:val="ListParagraph"/>
        <w:ind w:left="1060"/>
        <w:rPr>
          <w:sz w:val="24"/>
          <w:szCs w:val="24"/>
        </w:rPr>
      </w:pPr>
    </w:p>
    <w:p w:rsidR="00870C8B" w:rsidRPr="006757FF" w:rsidRDefault="00870C8B">
      <w:pPr>
        <w:rPr>
          <w:sz w:val="24"/>
          <w:szCs w:val="24"/>
        </w:rPr>
      </w:pPr>
    </w:p>
    <w:sectPr w:rsidR="00870C8B" w:rsidRPr="006757FF" w:rsidSect="006556A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7577"/>
    <w:multiLevelType w:val="hybridMultilevel"/>
    <w:tmpl w:val="554CB53A"/>
    <w:lvl w:ilvl="0" w:tplc="0408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9B73C0A"/>
    <w:multiLevelType w:val="hybridMultilevel"/>
    <w:tmpl w:val="F2C64A14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FAA62AD"/>
    <w:multiLevelType w:val="hybridMultilevel"/>
    <w:tmpl w:val="85EAD350"/>
    <w:lvl w:ilvl="0" w:tplc="50D42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D3380"/>
    <w:multiLevelType w:val="hybridMultilevel"/>
    <w:tmpl w:val="F912E6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54070"/>
    <w:multiLevelType w:val="hybridMultilevel"/>
    <w:tmpl w:val="958CB3F0"/>
    <w:lvl w:ilvl="0" w:tplc="50D42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8B"/>
    <w:rsid w:val="0002018C"/>
    <w:rsid w:val="000574E4"/>
    <w:rsid w:val="000D70DC"/>
    <w:rsid w:val="000F016B"/>
    <w:rsid w:val="00170FF5"/>
    <w:rsid w:val="00346ED5"/>
    <w:rsid w:val="003B30FA"/>
    <w:rsid w:val="0065241C"/>
    <w:rsid w:val="006556A3"/>
    <w:rsid w:val="006757FF"/>
    <w:rsid w:val="00822753"/>
    <w:rsid w:val="00870C8B"/>
    <w:rsid w:val="00F24ADA"/>
    <w:rsid w:val="00FB1FF2"/>
    <w:rsid w:val="00FD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user</cp:lastModifiedBy>
  <cp:revision>2</cp:revision>
  <cp:lastPrinted>2013-12-17T20:23:00Z</cp:lastPrinted>
  <dcterms:created xsi:type="dcterms:W3CDTF">2013-12-17T20:23:00Z</dcterms:created>
  <dcterms:modified xsi:type="dcterms:W3CDTF">2013-12-17T20:23:00Z</dcterms:modified>
</cp:coreProperties>
</file>