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2FB39" w14:textId="77777777" w:rsidR="007A3172" w:rsidRDefault="00000000">
      <w:pPr>
        <w:pStyle w:val="a4"/>
      </w:pPr>
      <w:r>
        <w:rPr>
          <w:color w:val="2E5395"/>
        </w:rPr>
        <w:t>Εξερευνήσεις</w:t>
      </w:r>
      <w:r>
        <w:rPr>
          <w:color w:val="2E5395"/>
          <w:spacing w:val="-4"/>
        </w:rPr>
        <w:t xml:space="preserve"> </w:t>
      </w:r>
      <w:r>
        <w:rPr>
          <w:color w:val="2E5395"/>
        </w:rPr>
        <w:t>με</w:t>
      </w:r>
      <w:r>
        <w:rPr>
          <w:color w:val="2E5395"/>
          <w:spacing w:val="-3"/>
        </w:rPr>
        <w:t xml:space="preserve"> </w:t>
      </w:r>
      <w:r>
        <w:rPr>
          <w:color w:val="2E5395"/>
        </w:rPr>
        <w:t>βάση</w:t>
      </w:r>
      <w:r>
        <w:rPr>
          <w:color w:val="2E5395"/>
          <w:spacing w:val="-1"/>
        </w:rPr>
        <w:t xml:space="preserve"> </w:t>
      </w:r>
      <w:r>
        <w:rPr>
          <w:color w:val="2E5395"/>
        </w:rPr>
        <w:t>τα</w:t>
      </w:r>
      <w:r>
        <w:rPr>
          <w:color w:val="2E5395"/>
          <w:spacing w:val="-5"/>
        </w:rPr>
        <w:t xml:space="preserve"> </w:t>
      </w:r>
      <w:r>
        <w:rPr>
          <w:color w:val="2E5395"/>
        </w:rPr>
        <w:t>ενδιαφέροντα</w:t>
      </w:r>
      <w:r>
        <w:rPr>
          <w:color w:val="2E5395"/>
          <w:spacing w:val="-4"/>
        </w:rPr>
        <w:t xml:space="preserve"> </w:t>
      </w:r>
      <w:r>
        <w:rPr>
          <w:color w:val="2E5395"/>
        </w:rPr>
        <w:t>(Explorations</w:t>
      </w:r>
      <w:r>
        <w:rPr>
          <w:color w:val="2E5395"/>
          <w:spacing w:val="-1"/>
        </w:rPr>
        <w:t xml:space="preserve"> </w:t>
      </w:r>
      <w:r>
        <w:rPr>
          <w:color w:val="2E5395"/>
        </w:rPr>
        <w:t>by</w:t>
      </w:r>
      <w:r>
        <w:rPr>
          <w:color w:val="2E5395"/>
          <w:spacing w:val="-2"/>
        </w:rPr>
        <w:t xml:space="preserve"> interest)</w:t>
      </w:r>
    </w:p>
    <w:p w14:paraId="533CAA19" w14:textId="77777777" w:rsidR="007A3172" w:rsidRDefault="007A3172">
      <w:pPr>
        <w:pStyle w:val="a3"/>
        <w:spacing w:before="113"/>
        <w:ind w:left="0"/>
        <w:rPr>
          <w:b/>
          <w:sz w:val="20"/>
        </w:rPr>
      </w:pPr>
    </w:p>
    <w:tbl>
      <w:tblPr>
        <w:tblStyle w:val="TableNormal"/>
        <w:tblW w:w="0" w:type="auto"/>
        <w:tblInd w:w="177" w:type="dxa"/>
        <w:tblLayout w:type="fixed"/>
        <w:tblLook w:val="01E0" w:firstRow="1" w:lastRow="1" w:firstColumn="1" w:lastColumn="1" w:noHBand="0" w:noVBand="0"/>
      </w:tblPr>
      <w:tblGrid>
        <w:gridCol w:w="2002"/>
        <w:gridCol w:w="3126"/>
        <w:gridCol w:w="1713"/>
      </w:tblGrid>
      <w:tr w:rsidR="007A3172" w14:paraId="16C35211" w14:textId="77777777">
        <w:trPr>
          <w:trHeight w:val="425"/>
        </w:trPr>
        <w:tc>
          <w:tcPr>
            <w:tcW w:w="2002" w:type="dxa"/>
          </w:tcPr>
          <w:p w14:paraId="59566C9A" w14:textId="77777777" w:rsidR="007A3172" w:rsidRDefault="00000000">
            <w:pPr>
              <w:pStyle w:val="TableParagraph"/>
              <w:spacing w:before="90"/>
              <w:ind w:left="50"/>
              <w:rPr>
                <w:b/>
              </w:rPr>
            </w:pPr>
            <w:r>
              <w:rPr>
                <w:b/>
              </w:rPr>
              <w:t>Κατάλληλο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για:</w:t>
            </w:r>
          </w:p>
        </w:tc>
        <w:tc>
          <w:tcPr>
            <w:tcW w:w="3126" w:type="dxa"/>
            <w:tcBorders>
              <w:right w:val="single" w:sz="4" w:space="0" w:color="000000"/>
            </w:tcBorders>
          </w:tcPr>
          <w:p w14:paraId="639142E2" w14:textId="77777777" w:rsidR="007A3172" w:rsidRDefault="00000000">
            <w:pPr>
              <w:pStyle w:val="TableParagraph"/>
              <w:spacing w:before="90"/>
              <w:ind w:left="516"/>
            </w:pPr>
            <w:r>
              <w:rPr>
                <w:spacing w:val="-2"/>
              </w:rPr>
              <w:t>Ετοιμότητα</w:t>
            </w:r>
          </w:p>
        </w:tc>
        <w:tc>
          <w:tcPr>
            <w:tcW w:w="1713" w:type="dxa"/>
            <w:tcBorders>
              <w:left w:val="single" w:sz="4" w:space="0" w:color="000000"/>
            </w:tcBorders>
          </w:tcPr>
          <w:p w14:paraId="56BFCA5E" w14:textId="77777777" w:rsidR="007A3172" w:rsidRDefault="00000000">
            <w:pPr>
              <w:pStyle w:val="TableParagraph"/>
              <w:spacing w:before="90"/>
              <w:ind w:right="100"/>
              <w:jc w:val="right"/>
              <w:rPr>
                <w:b/>
              </w:rPr>
            </w:pPr>
            <w:r>
              <w:rPr>
                <w:b/>
              </w:rPr>
              <w:t>Χ</w:t>
            </w:r>
            <w:r>
              <w:rPr>
                <w:b/>
                <w:spacing w:val="71"/>
                <w:w w:val="150"/>
              </w:rPr>
              <w:t xml:space="preserve"> </w:t>
            </w:r>
            <w:r>
              <w:rPr>
                <w:b/>
                <w:spacing w:val="-2"/>
              </w:rPr>
              <w:t>Περιεχόμενο</w:t>
            </w:r>
          </w:p>
        </w:tc>
      </w:tr>
      <w:tr w:rsidR="007A3172" w14:paraId="4887E0B1" w14:textId="77777777">
        <w:trPr>
          <w:trHeight w:val="360"/>
        </w:trPr>
        <w:tc>
          <w:tcPr>
            <w:tcW w:w="2002" w:type="dxa"/>
          </w:tcPr>
          <w:p w14:paraId="5E300873" w14:textId="77777777" w:rsidR="007A3172" w:rsidRDefault="007A317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3126" w:type="dxa"/>
            <w:tcBorders>
              <w:right w:val="single" w:sz="4" w:space="0" w:color="000000"/>
            </w:tcBorders>
          </w:tcPr>
          <w:p w14:paraId="73C11F68" w14:textId="77777777" w:rsidR="007A3172" w:rsidRDefault="00000000">
            <w:pPr>
              <w:pStyle w:val="TableParagraph"/>
              <w:ind w:left="272"/>
              <w:rPr>
                <w:b/>
              </w:rPr>
            </w:pPr>
            <w:r>
              <w:rPr>
                <w:b/>
              </w:rPr>
              <w:t>Χ</w:t>
            </w:r>
            <w:r>
              <w:rPr>
                <w:b/>
                <w:spacing w:val="71"/>
                <w:w w:val="150"/>
              </w:rPr>
              <w:t xml:space="preserve"> </w:t>
            </w:r>
            <w:r>
              <w:rPr>
                <w:b/>
                <w:spacing w:val="-2"/>
              </w:rPr>
              <w:t>Ενδιαφέροντα</w:t>
            </w:r>
          </w:p>
        </w:tc>
        <w:tc>
          <w:tcPr>
            <w:tcW w:w="1713" w:type="dxa"/>
            <w:tcBorders>
              <w:left w:val="single" w:sz="4" w:space="0" w:color="000000"/>
            </w:tcBorders>
          </w:tcPr>
          <w:p w14:paraId="52DECDBE" w14:textId="77777777" w:rsidR="007A3172" w:rsidRDefault="00000000">
            <w:pPr>
              <w:pStyle w:val="TableParagraph"/>
              <w:ind w:left="398"/>
            </w:pPr>
            <w:r>
              <w:rPr>
                <w:spacing w:val="-2"/>
              </w:rPr>
              <w:t>Διαδικασία</w:t>
            </w:r>
          </w:p>
        </w:tc>
      </w:tr>
      <w:tr w:rsidR="007A3172" w14:paraId="4F0189B4" w14:textId="77777777">
        <w:trPr>
          <w:trHeight w:val="295"/>
        </w:trPr>
        <w:tc>
          <w:tcPr>
            <w:tcW w:w="2002" w:type="dxa"/>
          </w:tcPr>
          <w:p w14:paraId="1FC3CB02" w14:textId="77777777" w:rsidR="007A3172" w:rsidRDefault="007A3172">
            <w:pPr>
              <w:pStyle w:val="TableParagraph"/>
              <w:spacing w:before="0"/>
              <w:rPr>
                <w:rFonts w:ascii="Times New Roman"/>
              </w:rPr>
            </w:pPr>
          </w:p>
        </w:tc>
        <w:tc>
          <w:tcPr>
            <w:tcW w:w="3126" w:type="dxa"/>
            <w:tcBorders>
              <w:right w:val="single" w:sz="4" w:space="0" w:color="000000"/>
            </w:tcBorders>
          </w:tcPr>
          <w:p w14:paraId="354FC400" w14:textId="77777777" w:rsidR="007A3172" w:rsidRDefault="00000000">
            <w:pPr>
              <w:pStyle w:val="TableParagraph"/>
              <w:spacing w:line="250" w:lineRule="exact"/>
              <w:ind w:left="516"/>
            </w:pPr>
            <w:r>
              <w:t>Μαθησιακή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προτίμηση</w:t>
            </w:r>
          </w:p>
        </w:tc>
        <w:tc>
          <w:tcPr>
            <w:tcW w:w="1713" w:type="dxa"/>
            <w:tcBorders>
              <w:left w:val="single" w:sz="4" w:space="0" w:color="000000"/>
            </w:tcBorders>
          </w:tcPr>
          <w:p w14:paraId="501EF749" w14:textId="77777777" w:rsidR="007A3172" w:rsidRDefault="00000000">
            <w:pPr>
              <w:pStyle w:val="TableParagraph"/>
              <w:spacing w:line="250" w:lineRule="exact"/>
              <w:ind w:right="48"/>
              <w:jc w:val="right"/>
            </w:pPr>
            <w:r>
              <w:t>Τελικό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προϊόν</w:t>
            </w:r>
          </w:p>
        </w:tc>
      </w:tr>
    </w:tbl>
    <w:p w14:paraId="090CA499" w14:textId="77777777" w:rsidR="007A3172" w:rsidRDefault="007A3172">
      <w:pPr>
        <w:pStyle w:val="a3"/>
        <w:spacing w:before="60"/>
        <w:ind w:left="0"/>
        <w:rPr>
          <w:b/>
          <w:sz w:val="32"/>
        </w:rPr>
      </w:pPr>
    </w:p>
    <w:p w14:paraId="45132BC4" w14:textId="77777777" w:rsidR="007A3172" w:rsidRDefault="00000000">
      <w:pPr>
        <w:pStyle w:val="1"/>
        <w:jc w:val="both"/>
      </w:pPr>
      <w:r>
        <w:t>Τι</w:t>
      </w:r>
      <w:r>
        <w:rPr>
          <w:spacing w:val="-2"/>
        </w:rPr>
        <w:t xml:space="preserve"> είναι:</w:t>
      </w:r>
    </w:p>
    <w:p w14:paraId="0B82E229" w14:textId="58C98954" w:rsidR="007A3172" w:rsidRDefault="00000000">
      <w:pPr>
        <w:pStyle w:val="a3"/>
        <w:ind w:right="452"/>
        <w:jc w:val="both"/>
      </w:pPr>
      <w:r>
        <w:t>Ο/η εκπαιδευτικός είναι δυνατό να προσαρμόσει το πρόγραμμα σπουδών με βάση τα ενδιαφέροντα των μαθητών</w:t>
      </w:r>
      <w:r w:rsidR="00153608">
        <w:t>/τριών</w:t>
      </w:r>
      <w:r>
        <w:t xml:space="preserve">. Αυτό μπορεί να γίνει δίνοντας </w:t>
      </w:r>
      <w:r w:rsidR="00153608">
        <w:t>στους/ις</w:t>
      </w:r>
      <w:r>
        <w:t xml:space="preserve"> μαθητές</w:t>
      </w:r>
      <w:r w:rsidR="00153608">
        <w:t>/τριες</w:t>
      </w:r>
      <w:r>
        <w:t xml:space="preserve"> πολλαπλές οδούς εξερεύνησης σε ένα συγκεκριμένο θέμα. Οι οδοί εξερεύνησης θα μπορούσε να είναι: αφήγηση (παρουσιάζοντας μια ιστορία), μαθηματική λογική (χρησιμοποιώντας αριθμούς-ποσότητες), θεμελιώδης-ιστορική (εξετάζοντας την ετυμολογία ή τη φιλοσοφία), αισθητική, πειραματική (αξιοποιώντας το εργαστήριο) (Tomlinson, 2017).</w:t>
      </w:r>
    </w:p>
    <w:p w14:paraId="372AFE36" w14:textId="1CC34552" w:rsidR="007A3172" w:rsidRDefault="00000000">
      <w:pPr>
        <w:pStyle w:val="a3"/>
        <w:spacing w:before="1"/>
        <w:ind w:right="461"/>
        <w:jc w:val="both"/>
      </w:pPr>
      <w:r>
        <w:t>Η</w:t>
      </w:r>
      <w:r>
        <w:rPr>
          <w:spacing w:val="-13"/>
        </w:rPr>
        <w:t xml:space="preserve"> </w:t>
      </w:r>
      <w:r>
        <w:t>στρατηγική</w:t>
      </w:r>
      <w:r>
        <w:rPr>
          <w:spacing w:val="-12"/>
        </w:rPr>
        <w:t xml:space="preserve"> </w:t>
      </w:r>
      <w:r>
        <w:t>αυτή</w:t>
      </w:r>
      <w:r>
        <w:rPr>
          <w:spacing w:val="-7"/>
        </w:rPr>
        <w:t xml:space="preserve"> </w:t>
      </w:r>
      <w:r>
        <w:t>παρέχει</w:t>
      </w:r>
      <w:r>
        <w:rPr>
          <w:spacing w:val="-10"/>
        </w:rPr>
        <w:t xml:space="preserve"> </w:t>
      </w:r>
      <w:r w:rsidR="00153608">
        <w:t>στους/ις</w:t>
      </w:r>
      <w:r>
        <w:rPr>
          <w:spacing w:val="-8"/>
        </w:rPr>
        <w:t xml:space="preserve"> </w:t>
      </w:r>
      <w:r>
        <w:t>μαθητές</w:t>
      </w:r>
      <w:r w:rsidR="00153608">
        <w:t>/τριες</w:t>
      </w:r>
      <w:r>
        <w:rPr>
          <w:spacing w:val="-8"/>
        </w:rPr>
        <w:t xml:space="preserve"> </w:t>
      </w:r>
      <w:r>
        <w:t>τη</w:t>
      </w:r>
      <w:r>
        <w:rPr>
          <w:spacing w:val="-12"/>
        </w:rPr>
        <w:t xml:space="preserve"> </w:t>
      </w:r>
      <w:r>
        <w:t>δυνατότητα</w:t>
      </w:r>
      <w:r>
        <w:rPr>
          <w:spacing w:val="-10"/>
        </w:rPr>
        <w:t xml:space="preserve"> </w:t>
      </w:r>
      <w:r>
        <w:t>να</w:t>
      </w:r>
      <w:r>
        <w:rPr>
          <w:spacing w:val="-10"/>
        </w:rPr>
        <w:t xml:space="preserve"> </w:t>
      </w:r>
      <w:r>
        <w:t>εξερευνήσουν</w:t>
      </w:r>
      <w:r>
        <w:rPr>
          <w:spacing w:val="-12"/>
        </w:rPr>
        <w:t xml:space="preserve"> </w:t>
      </w:r>
      <w:r>
        <w:t>περιοχές</w:t>
      </w:r>
      <w:r>
        <w:rPr>
          <w:spacing w:val="-8"/>
        </w:rPr>
        <w:t xml:space="preserve"> </w:t>
      </w:r>
      <w:r>
        <w:t>ενδιαφέροντος</w:t>
      </w:r>
      <w:r>
        <w:rPr>
          <w:spacing w:val="-12"/>
        </w:rPr>
        <w:t xml:space="preserve"> </w:t>
      </w:r>
      <w:r>
        <w:t>σε βάθος, να αποκτήσουν ανεξαρτησία δουλεύοντας στο σχολικό περιβάλλον και να ικανοποιήσουν την έμφυτη περιέργειά τους για νέα γνώση.</w:t>
      </w:r>
    </w:p>
    <w:p w14:paraId="076723C1" w14:textId="77777777" w:rsidR="007A3172" w:rsidRDefault="007A3172">
      <w:pPr>
        <w:pStyle w:val="a3"/>
        <w:spacing w:before="94"/>
        <w:ind w:left="0"/>
      </w:pPr>
    </w:p>
    <w:p w14:paraId="1AD35731" w14:textId="77777777" w:rsidR="007A3172" w:rsidRDefault="00000000">
      <w:pPr>
        <w:pStyle w:val="1"/>
        <w:jc w:val="both"/>
      </w:pPr>
      <w:r>
        <w:t>Πού</w:t>
      </w:r>
      <w:r>
        <w:rPr>
          <w:spacing w:val="-5"/>
        </w:rPr>
        <w:t xml:space="preserve"> </w:t>
      </w:r>
      <w:r>
        <w:t>στηρίζεται</w:t>
      </w:r>
      <w:r>
        <w:rPr>
          <w:spacing w:val="-2"/>
        </w:rPr>
        <w:t xml:space="preserve"> θεωρητικά:</w:t>
      </w:r>
    </w:p>
    <w:p w14:paraId="38C4AF7E" w14:textId="7309135C" w:rsidR="007A3172" w:rsidRDefault="00000000">
      <w:pPr>
        <w:pStyle w:val="a3"/>
        <w:ind w:right="452"/>
        <w:jc w:val="both"/>
      </w:pPr>
      <w:r>
        <w:t>Η</w:t>
      </w:r>
      <w:r>
        <w:rPr>
          <w:spacing w:val="-12"/>
        </w:rPr>
        <w:t xml:space="preserve"> </w:t>
      </w:r>
      <w:r>
        <w:t>έλξη,</w:t>
      </w:r>
      <w:r>
        <w:rPr>
          <w:spacing w:val="-10"/>
        </w:rPr>
        <w:t xml:space="preserve"> </w:t>
      </w:r>
      <w:r>
        <w:t>η</w:t>
      </w:r>
      <w:r>
        <w:rPr>
          <w:spacing w:val="-10"/>
        </w:rPr>
        <w:t xml:space="preserve"> </w:t>
      </w:r>
      <w:r>
        <w:t>περιέργεια,</w:t>
      </w:r>
      <w:r>
        <w:rPr>
          <w:spacing w:val="-6"/>
        </w:rPr>
        <w:t xml:space="preserve"> </w:t>
      </w:r>
      <w:r>
        <w:t>το</w:t>
      </w:r>
      <w:r>
        <w:rPr>
          <w:spacing w:val="-8"/>
        </w:rPr>
        <w:t xml:space="preserve"> </w:t>
      </w:r>
      <w:r>
        <w:t>πάθος,</w:t>
      </w:r>
      <w:r>
        <w:rPr>
          <w:spacing w:val="-10"/>
        </w:rPr>
        <w:t xml:space="preserve"> </w:t>
      </w:r>
      <w:r>
        <w:t>οι</w:t>
      </w:r>
      <w:r>
        <w:rPr>
          <w:spacing w:val="-8"/>
        </w:rPr>
        <w:t xml:space="preserve"> </w:t>
      </w:r>
      <w:r>
        <w:t>προτιμήσεις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 w:rsidR="00153608">
        <w:t>παιδιού</w:t>
      </w:r>
      <w:r>
        <w:rPr>
          <w:spacing w:val="-10"/>
        </w:rPr>
        <w:t xml:space="preserve"> </w:t>
      </w:r>
      <w:r>
        <w:t>για</w:t>
      </w:r>
      <w:r>
        <w:rPr>
          <w:spacing w:val="-8"/>
        </w:rPr>
        <w:t xml:space="preserve"> </w:t>
      </w:r>
      <w:r>
        <w:t>ένα</w:t>
      </w:r>
      <w:r>
        <w:rPr>
          <w:spacing w:val="-8"/>
        </w:rPr>
        <w:t xml:space="preserve"> </w:t>
      </w:r>
      <w:r>
        <w:t>συγκεκριμένο</w:t>
      </w:r>
      <w:r>
        <w:rPr>
          <w:spacing w:val="-11"/>
        </w:rPr>
        <w:t xml:space="preserve"> </w:t>
      </w:r>
      <w:r>
        <w:t>θέμα</w:t>
      </w:r>
      <w:r>
        <w:rPr>
          <w:spacing w:val="-8"/>
        </w:rPr>
        <w:t xml:space="preserve"> </w:t>
      </w:r>
      <w:r>
        <w:t>ή</w:t>
      </w:r>
      <w:r>
        <w:rPr>
          <w:spacing w:val="-10"/>
        </w:rPr>
        <w:t xml:space="preserve"> </w:t>
      </w:r>
      <w:r>
        <w:t>η</w:t>
      </w:r>
      <w:r>
        <w:rPr>
          <w:spacing w:val="-3"/>
        </w:rPr>
        <w:t xml:space="preserve"> </w:t>
      </w:r>
      <w:r>
        <w:t>ευχέρειά</w:t>
      </w:r>
      <w:r>
        <w:rPr>
          <w:spacing w:val="-8"/>
        </w:rPr>
        <w:t xml:space="preserve"> </w:t>
      </w:r>
      <w:r>
        <w:t xml:space="preserve">του σε μία δεξιότητα τον παρακινούν για μάθηση. Διαμορφώνοντας ένα μαθησιακό περιβάλλον που να αναδεικνύει και να αξιοποιεί τα διαφορετικά ενδιαφέροντα των </w:t>
      </w:r>
      <w:r w:rsidR="00153608">
        <w:t>παιδιών,</w:t>
      </w:r>
      <w:r>
        <w:t xml:space="preserve"> </w:t>
      </w:r>
      <w:r w:rsidR="00153608">
        <w:t xml:space="preserve">τους </w:t>
      </w:r>
      <w:r>
        <w:t>παρέχουμε τη δυνατότητα να οικοδομήσουν τη δική τους πορεία προς τη μάθηση και να μάθουν τόσο από την αυτόνομη προσπάθεια</w:t>
      </w:r>
      <w:r>
        <w:rPr>
          <w:spacing w:val="-2"/>
        </w:rPr>
        <w:t xml:space="preserve"> </w:t>
      </w:r>
      <w:r>
        <w:t>όσο</w:t>
      </w:r>
      <w:r>
        <w:rPr>
          <w:spacing w:val="-1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από</w:t>
      </w:r>
      <w:r>
        <w:rPr>
          <w:spacing w:val="-1"/>
        </w:rPr>
        <w:t xml:space="preserve"> </w:t>
      </w:r>
      <w:r>
        <w:t>τη δύναμη της συνεργασίας και</w:t>
      </w:r>
      <w:r>
        <w:rPr>
          <w:spacing w:val="-2"/>
        </w:rPr>
        <w:t xml:space="preserve"> </w:t>
      </w:r>
      <w:r>
        <w:t>της αλληλεπίδρασης (Tomlinson</w:t>
      </w:r>
      <w:r>
        <w:rPr>
          <w:spacing w:val="-4"/>
        </w:rPr>
        <w:t xml:space="preserve"> </w:t>
      </w:r>
      <w:r>
        <w:t>&amp; Allan, 2000). Οι εξερευνήσεις βάσει του ενδιαφέροντος των μαθητών</w:t>
      </w:r>
      <w:r w:rsidR="00153608">
        <w:t>/τριών,</w:t>
      </w:r>
      <w:r>
        <w:t xml:space="preserve"> </w:t>
      </w:r>
      <w:r w:rsidR="00153608">
        <w:t xml:space="preserve">τους </w:t>
      </w:r>
      <w:r>
        <w:t xml:space="preserve">κινητοποιούν </w:t>
      </w:r>
      <w:r w:rsidR="00153608">
        <w:t>οι οποίοι/ες</w:t>
      </w:r>
      <w:r>
        <w:t xml:space="preserve"> σταδιακά αναλαμβάνουν μέρος της ευθύνης της προσωπικής τους ανάπτυξης και</w:t>
      </w:r>
      <w:r>
        <w:rPr>
          <w:spacing w:val="-1"/>
        </w:rPr>
        <w:t xml:space="preserve"> </w:t>
      </w:r>
      <w:r>
        <w:t>με τον τρόπο αυτό προετοιμάζονται καλύτερα και για τη μετέπειτα ζωή τους (Γεωργιάδου, 2020).</w:t>
      </w:r>
    </w:p>
    <w:p w14:paraId="6C8D538E" w14:textId="77777777" w:rsidR="007A3172" w:rsidRDefault="007A3172">
      <w:pPr>
        <w:pStyle w:val="a3"/>
        <w:spacing w:before="91"/>
        <w:ind w:left="0"/>
      </w:pPr>
    </w:p>
    <w:p w14:paraId="04CB662D" w14:textId="77777777" w:rsidR="007A3172" w:rsidRDefault="00000000">
      <w:pPr>
        <w:pStyle w:val="1"/>
      </w:pPr>
      <w:r>
        <w:t>Ερευνητική</w:t>
      </w:r>
      <w:r>
        <w:rPr>
          <w:spacing w:val="-4"/>
        </w:rPr>
        <w:t xml:space="preserve"> </w:t>
      </w:r>
      <w:r>
        <w:rPr>
          <w:spacing w:val="-2"/>
        </w:rPr>
        <w:t>τεκμηρίωση:</w:t>
      </w:r>
    </w:p>
    <w:p w14:paraId="0A1B7BEE" w14:textId="77777777" w:rsidR="007A3172" w:rsidRPr="00153608" w:rsidRDefault="00000000">
      <w:pPr>
        <w:pStyle w:val="a3"/>
        <w:ind w:right="461"/>
        <w:rPr>
          <w:lang w:val="en-US"/>
        </w:rPr>
      </w:pPr>
      <w:r>
        <w:t>Santangelo,</w:t>
      </w:r>
      <w:r>
        <w:rPr>
          <w:spacing w:val="-3"/>
        </w:rPr>
        <w:t xml:space="preserve"> </w:t>
      </w:r>
      <w:r>
        <w:t>T.,</w:t>
      </w:r>
      <w:r>
        <w:rPr>
          <w:spacing w:val="-3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Tomlinson,</w:t>
      </w:r>
      <w:r>
        <w:rPr>
          <w:spacing w:val="-3"/>
        </w:rPr>
        <w:t xml:space="preserve"> </w:t>
      </w:r>
      <w:r>
        <w:t>C.</w:t>
      </w:r>
      <w:r>
        <w:rPr>
          <w:spacing w:val="-4"/>
        </w:rPr>
        <w:t xml:space="preserve"> </w:t>
      </w:r>
      <w:r>
        <w:t>A.</w:t>
      </w:r>
      <w:r>
        <w:rPr>
          <w:spacing w:val="-3"/>
        </w:rPr>
        <w:t xml:space="preserve"> </w:t>
      </w:r>
      <w:r>
        <w:t xml:space="preserve">(2009). </w:t>
      </w:r>
      <w:r w:rsidRPr="00153608">
        <w:rPr>
          <w:lang w:val="en-US"/>
        </w:rPr>
        <w:t>The</w:t>
      </w:r>
      <w:r w:rsidRPr="00153608">
        <w:rPr>
          <w:spacing w:val="-9"/>
          <w:lang w:val="en-US"/>
        </w:rPr>
        <w:t xml:space="preserve"> </w:t>
      </w:r>
      <w:r w:rsidRPr="00153608">
        <w:rPr>
          <w:lang w:val="en-US"/>
        </w:rPr>
        <w:t>application</w:t>
      </w:r>
      <w:r w:rsidRPr="00153608">
        <w:rPr>
          <w:spacing w:val="-4"/>
          <w:lang w:val="en-US"/>
        </w:rPr>
        <w:t xml:space="preserve"> </w:t>
      </w:r>
      <w:r w:rsidRPr="00153608">
        <w:rPr>
          <w:lang w:val="en-US"/>
        </w:rPr>
        <w:t>of</w:t>
      </w:r>
      <w:r w:rsidRPr="00153608">
        <w:rPr>
          <w:spacing w:val="-4"/>
          <w:lang w:val="en-US"/>
        </w:rPr>
        <w:t xml:space="preserve"> </w:t>
      </w:r>
      <w:r w:rsidRPr="00153608">
        <w:rPr>
          <w:lang w:val="en-US"/>
        </w:rPr>
        <w:t>differentiated</w:t>
      </w:r>
      <w:r w:rsidRPr="00153608">
        <w:rPr>
          <w:spacing w:val="-4"/>
          <w:lang w:val="en-US"/>
        </w:rPr>
        <w:t xml:space="preserve"> </w:t>
      </w:r>
      <w:r w:rsidRPr="00153608">
        <w:rPr>
          <w:lang w:val="en-US"/>
        </w:rPr>
        <w:t>instruction</w:t>
      </w:r>
      <w:r w:rsidRPr="00153608">
        <w:rPr>
          <w:spacing w:val="-4"/>
          <w:lang w:val="en-US"/>
        </w:rPr>
        <w:t xml:space="preserve"> </w:t>
      </w:r>
      <w:r w:rsidRPr="00153608">
        <w:rPr>
          <w:lang w:val="en-US"/>
        </w:rPr>
        <w:t>in</w:t>
      </w:r>
      <w:r w:rsidRPr="00153608">
        <w:rPr>
          <w:spacing w:val="-4"/>
          <w:lang w:val="en-US"/>
        </w:rPr>
        <w:t xml:space="preserve"> </w:t>
      </w:r>
      <w:r w:rsidRPr="00153608">
        <w:rPr>
          <w:lang w:val="en-US"/>
        </w:rPr>
        <w:t>post</w:t>
      </w:r>
      <w:r w:rsidRPr="00153608">
        <w:rPr>
          <w:spacing w:val="-6"/>
          <w:lang w:val="en-US"/>
        </w:rPr>
        <w:t xml:space="preserve"> </w:t>
      </w:r>
      <w:r w:rsidRPr="00153608">
        <w:rPr>
          <w:lang w:val="en-US"/>
        </w:rPr>
        <w:t>secondary environments:</w:t>
      </w:r>
      <w:r w:rsidRPr="00153608">
        <w:rPr>
          <w:spacing w:val="-13"/>
          <w:lang w:val="en-US"/>
        </w:rPr>
        <w:t xml:space="preserve"> </w:t>
      </w:r>
      <w:r w:rsidRPr="00153608">
        <w:rPr>
          <w:lang w:val="en-US"/>
        </w:rPr>
        <w:t>Benefits,</w:t>
      </w:r>
      <w:r w:rsidRPr="00153608">
        <w:rPr>
          <w:spacing w:val="-12"/>
          <w:lang w:val="en-US"/>
        </w:rPr>
        <w:t xml:space="preserve"> </w:t>
      </w:r>
      <w:r w:rsidRPr="00153608">
        <w:rPr>
          <w:lang w:val="en-US"/>
        </w:rPr>
        <w:t>challenges,</w:t>
      </w:r>
      <w:r w:rsidRPr="00153608">
        <w:rPr>
          <w:spacing w:val="-13"/>
          <w:lang w:val="en-US"/>
        </w:rPr>
        <w:t xml:space="preserve"> </w:t>
      </w:r>
      <w:r w:rsidRPr="00153608">
        <w:rPr>
          <w:lang w:val="en-US"/>
        </w:rPr>
        <w:t>and</w:t>
      </w:r>
      <w:r w:rsidRPr="00153608">
        <w:rPr>
          <w:spacing w:val="-12"/>
          <w:lang w:val="en-US"/>
        </w:rPr>
        <w:t xml:space="preserve"> </w:t>
      </w:r>
      <w:r w:rsidRPr="00153608">
        <w:rPr>
          <w:lang w:val="en-US"/>
        </w:rPr>
        <w:t>future</w:t>
      </w:r>
      <w:r w:rsidRPr="00153608">
        <w:rPr>
          <w:spacing w:val="-12"/>
          <w:lang w:val="en-US"/>
        </w:rPr>
        <w:t xml:space="preserve"> </w:t>
      </w:r>
      <w:r w:rsidRPr="00153608">
        <w:rPr>
          <w:lang w:val="en-US"/>
        </w:rPr>
        <w:t>directions.</w:t>
      </w:r>
      <w:r w:rsidRPr="00153608">
        <w:rPr>
          <w:spacing w:val="-13"/>
          <w:lang w:val="en-US"/>
        </w:rPr>
        <w:t xml:space="preserve"> </w:t>
      </w:r>
      <w:r w:rsidRPr="00153608">
        <w:rPr>
          <w:lang w:val="en-US"/>
        </w:rPr>
        <w:t>International</w:t>
      </w:r>
      <w:r w:rsidRPr="00153608">
        <w:rPr>
          <w:spacing w:val="-11"/>
          <w:lang w:val="en-US"/>
        </w:rPr>
        <w:t xml:space="preserve"> </w:t>
      </w:r>
      <w:r w:rsidRPr="00153608">
        <w:rPr>
          <w:lang w:val="en-US"/>
        </w:rPr>
        <w:t>Journal</w:t>
      </w:r>
      <w:r w:rsidRPr="00153608">
        <w:rPr>
          <w:spacing w:val="-12"/>
          <w:lang w:val="en-US"/>
        </w:rPr>
        <w:t xml:space="preserve"> </w:t>
      </w:r>
      <w:r w:rsidRPr="00153608">
        <w:rPr>
          <w:lang w:val="en-US"/>
        </w:rPr>
        <w:t>of</w:t>
      </w:r>
      <w:r w:rsidRPr="00153608">
        <w:rPr>
          <w:spacing w:val="-13"/>
          <w:lang w:val="en-US"/>
        </w:rPr>
        <w:t xml:space="preserve"> </w:t>
      </w:r>
      <w:r w:rsidRPr="00153608">
        <w:rPr>
          <w:lang w:val="en-US"/>
        </w:rPr>
        <w:t>Teaching</w:t>
      </w:r>
      <w:r w:rsidRPr="00153608">
        <w:rPr>
          <w:spacing w:val="-12"/>
          <w:lang w:val="en-US"/>
        </w:rPr>
        <w:t xml:space="preserve"> </w:t>
      </w:r>
      <w:r w:rsidRPr="00153608">
        <w:rPr>
          <w:lang w:val="en-US"/>
        </w:rPr>
        <w:t>and</w:t>
      </w:r>
      <w:r w:rsidRPr="00153608">
        <w:rPr>
          <w:spacing w:val="-12"/>
          <w:lang w:val="en-US"/>
        </w:rPr>
        <w:t xml:space="preserve"> </w:t>
      </w:r>
      <w:r w:rsidRPr="00153608">
        <w:rPr>
          <w:lang w:val="en-US"/>
        </w:rPr>
        <w:t xml:space="preserve">Learning in Higher Education, 20(3), 307–323. </w:t>
      </w:r>
      <w:hyperlink r:id="rId7">
        <w:r w:rsidRPr="00153608">
          <w:rPr>
            <w:color w:val="0000FF"/>
            <w:spacing w:val="-2"/>
            <w:u w:val="single" w:color="0000FF"/>
            <w:lang w:val="en-US"/>
          </w:rPr>
          <w:t>http://www.prufrock.com/Assets/ClientPages/pdfs/SEM_Web_Resources/Secondary%20Interest-A-</w:t>
        </w:r>
      </w:hyperlink>
      <w:r w:rsidRPr="00153608">
        <w:rPr>
          <w:color w:val="0000FF"/>
          <w:spacing w:val="-2"/>
          <w:lang w:val="en-US"/>
        </w:rPr>
        <w:t xml:space="preserve"> </w:t>
      </w:r>
      <w:hyperlink r:id="rId8">
        <w:r w:rsidRPr="00153608">
          <w:rPr>
            <w:color w:val="0000FF"/>
            <w:u w:val="single" w:color="0000FF"/>
            <w:lang w:val="en-US"/>
          </w:rPr>
          <w:t>Lyzer.pdf</w:t>
        </w:r>
      </w:hyperlink>
      <w:r w:rsidRPr="00153608">
        <w:rPr>
          <w:color w:val="0000FF"/>
          <w:lang w:val="en-US"/>
        </w:rPr>
        <w:t xml:space="preserve"> </w:t>
      </w:r>
      <w:r w:rsidRPr="00153608">
        <w:rPr>
          <w:lang w:val="en-US"/>
        </w:rPr>
        <w:t>(</w:t>
      </w:r>
      <w:r>
        <w:t>φόρμα</w:t>
      </w:r>
      <w:r w:rsidRPr="00153608">
        <w:rPr>
          <w:lang w:val="en-US"/>
        </w:rPr>
        <w:t xml:space="preserve"> </w:t>
      </w:r>
      <w:r>
        <w:t>καταγραφής</w:t>
      </w:r>
      <w:r w:rsidRPr="00153608">
        <w:rPr>
          <w:lang w:val="en-US"/>
        </w:rPr>
        <w:t xml:space="preserve"> </w:t>
      </w:r>
      <w:r>
        <w:t>ενδιαφερόντων</w:t>
      </w:r>
      <w:r w:rsidRPr="00153608">
        <w:rPr>
          <w:lang w:val="en-US"/>
        </w:rPr>
        <w:t>)</w:t>
      </w:r>
    </w:p>
    <w:p w14:paraId="5B6E1A0C" w14:textId="77777777" w:rsidR="007A3172" w:rsidRPr="00153608" w:rsidRDefault="007A3172">
      <w:pPr>
        <w:pStyle w:val="a3"/>
        <w:spacing w:before="93"/>
        <w:ind w:left="0"/>
        <w:rPr>
          <w:lang w:val="en-US"/>
        </w:rPr>
      </w:pPr>
    </w:p>
    <w:p w14:paraId="29EA2E3B" w14:textId="77777777" w:rsidR="007A3172" w:rsidRDefault="00000000">
      <w:pPr>
        <w:pStyle w:val="1"/>
        <w:jc w:val="both"/>
      </w:pPr>
      <w:r>
        <w:t>Πώς</w:t>
      </w:r>
      <w:r>
        <w:rPr>
          <w:spacing w:val="-6"/>
        </w:rPr>
        <w:t xml:space="preserve"> </w:t>
      </w:r>
      <w:r>
        <w:rPr>
          <w:spacing w:val="-2"/>
        </w:rPr>
        <w:t>υλοποιείται:</w:t>
      </w:r>
    </w:p>
    <w:p w14:paraId="17FC482E" w14:textId="77777777" w:rsidR="007A3172" w:rsidRDefault="00000000">
      <w:pPr>
        <w:pStyle w:val="a3"/>
        <w:ind w:right="463"/>
        <w:jc w:val="both"/>
      </w:pPr>
      <w:r>
        <w:t>Για να διαφοροποιήσουμε τη διδασκαλία χρησιμοποιώντας τις εξερευνήσεις με βάση το ενδιαφέρον ακολουθούμε κάποια βήματα, όπως:</w:t>
      </w:r>
    </w:p>
    <w:p w14:paraId="4469CFC6" w14:textId="2B99ADC5" w:rsidR="007A3172" w:rsidRDefault="00000000">
      <w:pPr>
        <w:pStyle w:val="a5"/>
        <w:numPr>
          <w:ilvl w:val="0"/>
          <w:numId w:val="1"/>
        </w:numPr>
        <w:tabs>
          <w:tab w:val="left" w:pos="832"/>
        </w:tabs>
        <w:spacing w:before="268"/>
        <w:ind w:right="105"/>
      </w:pPr>
      <w:r>
        <w:t>Δίνουμε</w:t>
      </w:r>
      <w:r>
        <w:rPr>
          <w:spacing w:val="39"/>
        </w:rPr>
        <w:t xml:space="preserve"> </w:t>
      </w:r>
      <w:r>
        <w:t>ένα</w:t>
      </w:r>
      <w:r>
        <w:rPr>
          <w:spacing w:val="38"/>
        </w:rPr>
        <w:t xml:space="preserve"> </w:t>
      </w:r>
      <w:r>
        <w:t>ερωτηματολόγιο</w:t>
      </w:r>
      <w:r>
        <w:rPr>
          <w:spacing w:val="38"/>
        </w:rPr>
        <w:t xml:space="preserve"> </w:t>
      </w:r>
      <w:r>
        <w:t>όπου</w:t>
      </w:r>
      <w:r>
        <w:rPr>
          <w:spacing w:val="40"/>
        </w:rPr>
        <w:t xml:space="preserve"> </w:t>
      </w:r>
      <w:r>
        <w:t>διερευνούμε</w:t>
      </w:r>
      <w:r>
        <w:rPr>
          <w:spacing w:val="39"/>
        </w:rPr>
        <w:t xml:space="preserve"> </w:t>
      </w:r>
      <w:r>
        <w:t>τα</w:t>
      </w:r>
      <w:r>
        <w:rPr>
          <w:spacing w:val="40"/>
        </w:rPr>
        <w:t xml:space="preserve"> </w:t>
      </w:r>
      <w:r>
        <w:t>ενδιαφέροντά</w:t>
      </w:r>
      <w:r>
        <w:rPr>
          <w:spacing w:val="38"/>
        </w:rPr>
        <w:t xml:space="preserve"> </w:t>
      </w:r>
      <w:r>
        <w:t xml:space="preserve">τους </w:t>
      </w:r>
    </w:p>
    <w:p w14:paraId="0CC5EBD3" w14:textId="77777777" w:rsidR="007A3172" w:rsidRDefault="007A3172">
      <w:pPr>
        <w:pStyle w:val="a3"/>
        <w:spacing w:before="1"/>
        <w:ind w:left="0"/>
      </w:pPr>
    </w:p>
    <w:p w14:paraId="1FF4A6B7" w14:textId="06AF22F3" w:rsidR="007A3172" w:rsidRDefault="00000000">
      <w:pPr>
        <w:pStyle w:val="a3"/>
        <w:ind w:right="460"/>
        <w:jc w:val="both"/>
      </w:pPr>
      <w:r>
        <w:t>Αφού διερευνήσουμε, τους παρέχουμε υλικό και τους ενθαρρύνουμε να εξερευνήσουν σε βάθος τον τομέα ενδιαφέροντός τους. Ενθαρρύνουμε να σχεδιάσουν και να συμμετάσχουν στο σχεδιασμό μιας εργασίας.</w:t>
      </w:r>
    </w:p>
    <w:p w14:paraId="07AC82A4" w14:textId="77777777" w:rsidR="007A3172" w:rsidRDefault="007A3172">
      <w:pPr>
        <w:pStyle w:val="a3"/>
        <w:spacing w:before="90"/>
        <w:ind w:left="0"/>
      </w:pPr>
    </w:p>
    <w:p w14:paraId="001C7DFC" w14:textId="77777777" w:rsidR="007A3172" w:rsidRDefault="00000000">
      <w:pPr>
        <w:pStyle w:val="1"/>
        <w:spacing w:line="240" w:lineRule="auto"/>
      </w:pPr>
      <w:r>
        <w:rPr>
          <w:spacing w:val="-2"/>
        </w:rPr>
        <w:t>Παράδειγμα:</w:t>
      </w:r>
    </w:p>
    <w:p w14:paraId="6019ED0F" w14:textId="77777777" w:rsidR="007A3172" w:rsidRDefault="007A3172">
      <w:pPr>
        <w:sectPr w:rsidR="007A3172">
          <w:footerReference w:type="default" r:id="rId9"/>
          <w:type w:val="continuous"/>
          <w:pgSz w:w="11910" w:h="16840"/>
          <w:pgMar w:top="1100" w:right="1040" w:bottom="1320" w:left="1020" w:header="0" w:footer="1128" w:gutter="0"/>
          <w:pgNumType w:start="1"/>
          <w:cols w:space="720"/>
        </w:sectPr>
      </w:pPr>
    </w:p>
    <w:p w14:paraId="5DA84159" w14:textId="53D1A903" w:rsidR="007A3172" w:rsidRDefault="00000000">
      <w:pPr>
        <w:pStyle w:val="a3"/>
        <w:spacing w:before="35" w:line="242" w:lineRule="auto"/>
        <w:ind w:right="460"/>
        <w:jc w:val="both"/>
      </w:pPr>
      <w:r>
        <w:lastRenderedPageBreak/>
        <w:t>Για τη διερεύνηση των ενδιαφερόντων των μαθητών</w:t>
      </w:r>
      <w:r w:rsidR="00153608">
        <w:t>/τριών</w:t>
      </w:r>
      <w:r>
        <w:t xml:space="preserve"> στο πλαίσιο μιας συγκεκριμένης διδακτικής ενότητας, για παράδειγμα Ενότητα: «</w:t>
      </w:r>
      <w:r>
        <w:rPr>
          <w:b/>
        </w:rPr>
        <w:t>Αρχαία Αθήνα</w:t>
      </w:r>
      <w:r>
        <w:t xml:space="preserve">» τους ζητάμε να συμπληρώσουν κάτι σαν το </w:t>
      </w:r>
      <w:r>
        <w:rPr>
          <w:spacing w:val="-2"/>
        </w:rPr>
        <w:t>παρακάτω:</w:t>
      </w:r>
    </w:p>
    <w:p w14:paraId="1ADFE6F3" w14:textId="77777777" w:rsidR="007A3172" w:rsidRDefault="00000000">
      <w:pPr>
        <w:pStyle w:val="a3"/>
        <w:ind w:right="457"/>
        <w:jc w:val="both"/>
      </w:pPr>
      <w:r>
        <w:t>Ταξινομήστε</w:t>
      </w:r>
      <w:r>
        <w:rPr>
          <w:spacing w:val="-5"/>
        </w:rPr>
        <w:t xml:space="preserve"> </w:t>
      </w:r>
      <w:r>
        <w:t>τα</w:t>
      </w:r>
      <w:r>
        <w:rPr>
          <w:spacing w:val="-6"/>
        </w:rPr>
        <w:t xml:space="preserve"> </w:t>
      </w:r>
      <w:r>
        <w:t>ενδιαφέροντά</w:t>
      </w:r>
      <w:r>
        <w:rPr>
          <w:spacing w:val="-2"/>
        </w:rPr>
        <w:t xml:space="preserve"> </w:t>
      </w:r>
      <w:r>
        <w:t>σας</w:t>
      </w:r>
      <w:r>
        <w:rPr>
          <w:spacing w:val="-4"/>
        </w:rPr>
        <w:t xml:space="preserve"> </w:t>
      </w:r>
      <w:r>
        <w:t>από</w:t>
      </w:r>
      <w:r>
        <w:rPr>
          <w:spacing w:val="-2"/>
        </w:rPr>
        <w:t xml:space="preserve"> </w:t>
      </w:r>
      <w:r>
        <w:t>το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έως</w:t>
      </w:r>
      <w:r>
        <w:rPr>
          <w:spacing w:val="-4"/>
        </w:rPr>
        <w:t xml:space="preserve"> </w:t>
      </w:r>
      <w:r>
        <w:t>το</w:t>
      </w:r>
      <w:r>
        <w:rPr>
          <w:spacing w:val="-5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(περισσότερο</w:t>
      </w:r>
      <w:r>
        <w:rPr>
          <w:spacing w:val="-2"/>
        </w:rPr>
        <w:t xml:space="preserve"> </w:t>
      </w:r>
      <w:r>
        <w:t>σε</w:t>
      </w:r>
      <w:r>
        <w:rPr>
          <w:spacing w:val="-2"/>
        </w:rPr>
        <w:t xml:space="preserve"> </w:t>
      </w:r>
      <w:r>
        <w:t>λιγότερο) σχετικά</w:t>
      </w:r>
      <w:r>
        <w:rPr>
          <w:spacing w:val="-3"/>
        </w:rPr>
        <w:t xml:space="preserve"> </w:t>
      </w:r>
      <w:r>
        <w:t>με</w:t>
      </w:r>
      <w:r>
        <w:rPr>
          <w:spacing w:val="-5"/>
        </w:rPr>
        <w:t xml:space="preserve"> </w:t>
      </w:r>
      <w:r>
        <w:t>το</w:t>
      </w:r>
      <w:r>
        <w:rPr>
          <w:spacing w:val="-5"/>
        </w:rPr>
        <w:t xml:space="preserve"> </w:t>
      </w:r>
      <w:r>
        <w:t>τι</w:t>
      </w:r>
      <w:r>
        <w:rPr>
          <w:spacing w:val="-2"/>
        </w:rPr>
        <w:t xml:space="preserve"> </w:t>
      </w:r>
      <w:r>
        <w:t>θέλετε να μάθετε για την Αρχαία Αθήνα:</w:t>
      </w:r>
    </w:p>
    <w:p w14:paraId="1AABB62C" w14:textId="77777777" w:rsidR="007A3172" w:rsidRDefault="00000000">
      <w:pPr>
        <w:pStyle w:val="a3"/>
        <w:tabs>
          <w:tab w:val="left" w:leader="dot" w:pos="2456"/>
        </w:tabs>
        <w:spacing w:before="261" w:line="268" w:lineRule="exact"/>
        <w:ind w:left="832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t>Γεωγραφία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Γεωργία</w:t>
      </w:r>
    </w:p>
    <w:p w14:paraId="48786ACF" w14:textId="77777777" w:rsidR="007A3172" w:rsidRDefault="00000000">
      <w:pPr>
        <w:pStyle w:val="a3"/>
        <w:tabs>
          <w:tab w:val="left" w:leader="dot" w:pos="2456"/>
        </w:tabs>
        <w:spacing w:line="268" w:lineRule="exact"/>
        <w:ind w:left="832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spacing w:val="-2"/>
        </w:rPr>
        <w:t>Νομοθεσία</w:t>
      </w:r>
    </w:p>
    <w:p w14:paraId="4EA66336" w14:textId="77777777" w:rsidR="007A3172" w:rsidRDefault="00000000">
      <w:pPr>
        <w:pStyle w:val="a3"/>
        <w:tabs>
          <w:tab w:val="left" w:leader="dot" w:pos="2456"/>
        </w:tabs>
        <w:spacing w:before="4" w:line="268" w:lineRule="exact"/>
        <w:ind w:left="832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t>Επιστήμη</w:t>
      </w:r>
      <w:r>
        <w:rPr>
          <w:spacing w:val="-4"/>
        </w:rPr>
        <w:t xml:space="preserve"> </w:t>
      </w:r>
      <w:r>
        <w:t>-</w:t>
      </w:r>
      <w:r>
        <w:rPr>
          <w:spacing w:val="-4"/>
        </w:rPr>
        <w:t xml:space="preserve"> </w:t>
      </w:r>
      <w:r>
        <w:rPr>
          <w:spacing w:val="-2"/>
        </w:rPr>
        <w:t>Φιλοσοφία</w:t>
      </w:r>
    </w:p>
    <w:p w14:paraId="6038EA8D" w14:textId="77777777" w:rsidR="007A3172" w:rsidRDefault="00000000">
      <w:pPr>
        <w:pStyle w:val="a3"/>
        <w:tabs>
          <w:tab w:val="left" w:leader="dot" w:pos="2456"/>
        </w:tabs>
        <w:spacing w:line="268" w:lineRule="exact"/>
        <w:ind w:left="832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spacing w:val="-2"/>
        </w:rPr>
        <w:t>Αρχιτεκτονική</w:t>
      </w:r>
    </w:p>
    <w:p w14:paraId="028B1E8F" w14:textId="77777777" w:rsidR="007A3172" w:rsidRDefault="00000000">
      <w:pPr>
        <w:pStyle w:val="a3"/>
        <w:tabs>
          <w:tab w:val="left" w:leader="dot" w:pos="2456"/>
        </w:tabs>
        <w:spacing w:line="268" w:lineRule="exact"/>
        <w:ind w:left="832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t>Μουσική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2"/>
        </w:rPr>
        <w:t>Τέχνες</w:t>
      </w:r>
    </w:p>
    <w:p w14:paraId="2E2006AD" w14:textId="77777777" w:rsidR="007A3172" w:rsidRDefault="00000000">
      <w:pPr>
        <w:pStyle w:val="a3"/>
        <w:tabs>
          <w:tab w:val="left" w:leader="dot" w:pos="2456"/>
        </w:tabs>
        <w:spacing w:line="268" w:lineRule="exact"/>
        <w:ind w:left="832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spacing w:val="-2"/>
        </w:rPr>
        <w:t>Θρησκεία</w:t>
      </w:r>
    </w:p>
    <w:p w14:paraId="1DACF391" w14:textId="77777777" w:rsidR="007A3172" w:rsidRDefault="00000000">
      <w:pPr>
        <w:pStyle w:val="a3"/>
        <w:tabs>
          <w:tab w:val="left" w:leader="dot" w:pos="2456"/>
        </w:tabs>
        <w:spacing w:line="268" w:lineRule="exact"/>
        <w:ind w:left="832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t>Ρόλος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θέση</w:t>
      </w:r>
      <w:r>
        <w:rPr>
          <w:spacing w:val="-3"/>
        </w:rPr>
        <w:t xml:space="preserve"> </w:t>
      </w:r>
      <w:r>
        <w:t>ανδρών,</w:t>
      </w:r>
      <w:r>
        <w:rPr>
          <w:spacing w:val="-2"/>
        </w:rPr>
        <w:t xml:space="preserve"> </w:t>
      </w:r>
      <w:r>
        <w:t>γυναικών,</w:t>
      </w:r>
      <w:r>
        <w:rPr>
          <w:spacing w:val="-2"/>
        </w:rPr>
        <w:t xml:space="preserve"> παιδιών</w:t>
      </w:r>
    </w:p>
    <w:p w14:paraId="0F08CE8E" w14:textId="30CB5707" w:rsidR="007A3172" w:rsidRDefault="00000000">
      <w:pPr>
        <w:pStyle w:val="a3"/>
        <w:spacing w:before="267" w:line="242" w:lineRule="auto"/>
        <w:ind w:right="468"/>
        <w:jc w:val="both"/>
      </w:pPr>
      <w:r>
        <w:t xml:space="preserve">Στη συνέχεια </w:t>
      </w:r>
      <w:r w:rsidR="00153608">
        <w:t xml:space="preserve">τους </w:t>
      </w:r>
      <w:r>
        <w:t>κατευθύνουμε</w:t>
      </w:r>
      <w:r>
        <w:rPr>
          <w:spacing w:val="-1"/>
        </w:rPr>
        <w:t xml:space="preserve"> </w:t>
      </w:r>
      <w:r>
        <w:t>σε ομάδες να εξερευνήσουν τον τομέα</w:t>
      </w:r>
      <w:r>
        <w:rPr>
          <w:spacing w:val="-1"/>
        </w:rPr>
        <w:t xml:space="preserve"> </w:t>
      </w:r>
      <w:r>
        <w:t>ενδιαφέροντός τους σχετικά με την προς διδασκαλία ενότητα και να παρουσιάσουν στην τάξη το υλικό τους. Τέλος</w:t>
      </w:r>
      <w:r w:rsidR="00153608">
        <w:t>,</w:t>
      </w:r>
      <w:r>
        <w:t xml:space="preserve"> προσδιορίζουμε τη νέα γνώση που κατακτήθηκε.</w:t>
      </w:r>
    </w:p>
    <w:p w14:paraId="5FE8DEFF" w14:textId="77777777" w:rsidR="007A3172" w:rsidRDefault="007A3172">
      <w:pPr>
        <w:pStyle w:val="a3"/>
        <w:spacing w:before="87"/>
        <w:ind w:left="0"/>
      </w:pPr>
    </w:p>
    <w:p w14:paraId="03BFCC6F" w14:textId="77777777" w:rsidR="007A3172" w:rsidRDefault="00000000">
      <w:pPr>
        <w:pStyle w:val="1"/>
      </w:pPr>
      <w:r>
        <w:rPr>
          <w:spacing w:val="-2"/>
        </w:rPr>
        <w:t>Αναφορές:</w:t>
      </w:r>
    </w:p>
    <w:p w14:paraId="70127219" w14:textId="77777777" w:rsidR="007A3172" w:rsidRPr="00153608" w:rsidRDefault="00000000">
      <w:pPr>
        <w:pStyle w:val="a3"/>
        <w:ind w:right="459"/>
        <w:rPr>
          <w:lang w:val="en-US"/>
        </w:rPr>
      </w:pPr>
      <w:r>
        <w:t>Tomlinson, C.A.</w:t>
      </w:r>
      <w:r>
        <w:rPr>
          <w:spacing w:val="-1"/>
        </w:rPr>
        <w:t xml:space="preserve"> </w:t>
      </w:r>
      <w:r>
        <w:t xml:space="preserve">(2017). </w:t>
      </w:r>
      <w:r w:rsidRPr="00153608">
        <w:rPr>
          <w:lang w:val="en-US"/>
        </w:rPr>
        <w:t>Planning</w:t>
      </w:r>
      <w:r w:rsidRPr="00153608">
        <w:rPr>
          <w:spacing w:val="-1"/>
          <w:lang w:val="en-US"/>
        </w:rPr>
        <w:t xml:space="preserve"> </w:t>
      </w:r>
      <w:r w:rsidRPr="00153608">
        <w:rPr>
          <w:lang w:val="en-US"/>
        </w:rPr>
        <w:t>Lessons Differentiated by</w:t>
      </w:r>
      <w:r w:rsidRPr="00153608">
        <w:rPr>
          <w:spacing w:val="-1"/>
          <w:lang w:val="en-US"/>
        </w:rPr>
        <w:t xml:space="preserve"> </w:t>
      </w:r>
      <w:r w:rsidRPr="00153608">
        <w:rPr>
          <w:lang w:val="en-US"/>
        </w:rPr>
        <w:t xml:space="preserve">Interest. </w:t>
      </w:r>
      <w:r w:rsidRPr="00153608">
        <w:rPr>
          <w:i/>
          <w:lang w:val="en-US"/>
        </w:rPr>
        <w:t xml:space="preserve">In: </w:t>
      </w:r>
      <w:r w:rsidRPr="00153608">
        <w:rPr>
          <w:lang w:val="en-US"/>
        </w:rPr>
        <w:t>How to</w:t>
      </w:r>
      <w:r w:rsidRPr="00153608">
        <w:rPr>
          <w:spacing w:val="-1"/>
          <w:lang w:val="en-US"/>
        </w:rPr>
        <w:t xml:space="preserve"> </w:t>
      </w:r>
      <w:r w:rsidRPr="00153608">
        <w:rPr>
          <w:lang w:val="en-US"/>
        </w:rPr>
        <w:t>Differentiate Instruction in Academically Diverse Classrooms. Alexandria, VA: ASCD.</w:t>
      </w:r>
    </w:p>
    <w:p w14:paraId="0EB016A1" w14:textId="77777777" w:rsidR="007A3172" w:rsidRDefault="00000000">
      <w:pPr>
        <w:pStyle w:val="a3"/>
        <w:spacing w:line="242" w:lineRule="auto"/>
        <w:ind w:right="461"/>
      </w:pPr>
      <w:r w:rsidRPr="00153608">
        <w:rPr>
          <w:lang w:val="en-US"/>
        </w:rPr>
        <w:t xml:space="preserve">Tomlinson, C.A., Allan, S.D. (2000). Leadership for Differentiating Schools &amp; Classrooms. </w:t>
      </w:r>
      <w:r>
        <w:t>ASCD. Γεωργιάδου</w:t>
      </w:r>
      <w:r>
        <w:rPr>
          <w:spacing w:val="40"/>
        </w:rPr>
        <w:t xml:space="preserve"> </w:t>
      </w:r>
      <w:r>
        <w:t>Ζ.</w:t>
      </w:r>
      <w:r>
        <w:rPr>
          <w:spacing w:val="40"/>
        </w:rPr>
        <w:t xml:space="preserve"> </w:t>
      </w:r>
      <w:r>
        <w:t>(2020).</w:t>
      </w:r>
      <w:r>
        <w:rPr>
          <w:spacing w:val="40"/>
        </w:rPr>
        <w:t xml:space="preserve"> </w:t>
      </w:r>
      <w:r>
        <w:t>Η</w:t>
      </w:r>
      <w:r>
        <w:rPr>
          <w:spacing w:val="40"/>
        </w:rPr>
        <w:t xml:space="preserve"> </w:t>
      </w:r>
      <w:r>
        <w:t>Διαφοροποιημένη</w:t>
      </w:r>
      <w:r>
        <w:rPr>
          <w:spacing w:val="40"/>
        </w:rPr>
        <w:t xml:space="preserve"> </w:t>
      </w:r>
      <w:r>
        <w:t>Διδασκαλία</w:t>
      </w:r>
      <w:r>
        <w:rPr>
          <w:spacing w:val="40"/>
        </w:rPr>
        <w:t xml:space="preserve"> </w:t>
      </w:r>
      <w:r>
        <w:t>στη</w:t>
      </w:r>
      <w:r>
        <w:rPr>
          <w:spacing w:val="40"/>
        </w:rPr>
        <w:t xml:space="preserve"> </w:t>
      </w:r>
      <w:r>
        <w:t>σχολική</w:t>
      </w:r>
      <w:r>
        <w:rPr>
          <w:spacing w:val="40"/>
        </w:rPr>
        <w:t xml:space="preserve"> </w:t>
      </w:r>
      <w:r>
        <w:t>τάξη:</w:t>
      </w:r>
      <w:r>
        <w:rPr>
          <w:spacing w:val="40"/>
        </w:rPr>
        <w:t xml:space="preserve"> </w:t>
      </w:r>
      <w:r>
        <w:t>θεωρητικό</w:t>
      </w:r>
      <w:r>
        <w:rPr>
          <w:spacing w:val="40"/>
        </w:rPr>
        <w:t xml:space="preserve"> </w:t>
      </w:r>
      <w:r>
        <w:t>πλαίσιο</w:t>
      </w:r>
      <w:r>
        <w:rPr>
          <w:spacing w:val="40"/>
        </w:rPr>
        <w:t xml:space="preserve"> </w:t>
      </w:r>
      <w:r>
        <w:t xml:space="preserve">και πρακτική εφαρμογή. Ανακτήθηκε 11/2/2020 από: </w:t>
      </w:r>
      <w:hyperlink r:id="rId10">
        <w:r>
          <w:rPr>
            <w:color w:val="0000FF"/>
            <w:u w:val="single" w:color="0000FF"/>
          </w:rPr>
          <w:t>https://bit.ly/38k8SZk</w:t>
        </w:r>
      </w:hyperlink>
    </w:p>
    <w:sectPr w:rsidR="007A3172">
      <w:pgSz w:w="11910" w:h="16840"/>
      <w:pgMar w:top="1080" w:right="1040" w:bottom="1320" w:left="1020" w:header="0" w:footer="11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A9E6DD" w14:textId="77777777" w:rsidR="00134E70" w:rsidRDefault="00134E70">
      <w:r>
        <w:separator/>
      </w:r>
    </w:p>
  </w:endnote>
  <w:endnote w:type="continuationSeparator" w:id="0">
    <w:p w14:paraId="4D88602D" w14:textId="77777777" w:rsidR="00134E70" w:rsidRDefault="0013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28B32" w14:textId="77777777" w:rsidR="007A3172" w:rsidRDefault="00000000">
    <w:pPr>
      <w:pStyle w:val="a3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33056" behindDoc="1" locked="0" layoutInCell="1" allowOverlap="1" wp14:anchorId="4B4AD1E8" wp14:editId="10638F2B">
          <wp:simplePos x="0" y="0"/>
          <wp:positionH relativeFrom="page">
            <wp:posOffset>1721624</wp:posOffset>
          </wp:positionH>
          <wp:positionV relativeFrom="page">
            <wp:posOffset>9847605</wp:posOffset>
          </wp:positionV>
          <wp:extent cx="4063734" cy="579634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3734" cy="5796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533568" behindDoc="1" locked="0" layoutInCell="1" allowOverlap="1" wp14:anchorId="56782EF3" wp14:editId="5BAE014F">
              <wp:simplePos x="0" y="0"/>
              <wp:positionH relativeFrom="page">
                <wp:posOffset>6499225</wp:posOffset>
              </wp:positionH>
              <wp:positionV relativeFrom="page">
                <wp:posOffset>9884176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751628" w14:textId="77777777" w:rsidR="007A3172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82EF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11.75pt;margin-top:778.3pt;width:13pt;height:15.3pt;z-index:-1578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" filled="f" stroked="f">
              <v:textbox inset="0,0,0,0">
                <w:txbxContent>
                  <w:p w14:paraId="3D751628" w14:textId="77777777" w:rsidR="007A3172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52BEA" w14:textId="77777777" w:rsidR="00134E70" w:rsidRDefault="00134E70">
      <w:r>
        <w:separator/>
      </w:r>
    </w:p>
  </w:footnote>
  <w:footnote w:type="continuationSeparator" w:id="0">
    <w:p w14:paraId="60A7FB6E" w14:textId="77777777" w:rsidR="00134E70" w:rsidRDefault="00134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764095"/>
    <w:multiLevelType w:val="hybridMultilevel"/>
    <w:tmpl w:val="BBC2925A"/>
    <w:lvl w:ilvl="0" w:tplc="16B2F40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 w:tplc="AF223B38">
      <w:numFmt w:val="bullet"/>
      <w:lvlText w:val="•"/>
      <w:lvlJc w:val="left"/>
      <w:pPr>
        <w:ind w:left="1740" w:hanging="360"/>
      </w:pPr>
      <w:rPr>
        <w:rFonts w:hint="default"/>
        <w:lang w:val="el-GR" w:eastAsia="en-US" w:bidi="ar-SA"/>
      </w:rPr>
    </w:lvl>
    <w:lvl w:ilvl="2" w:tplc="31F854B4">
      <w:numFmt w:val="bullet"/>
      <w:lvlText w:val="•"/>
      <w:lvlJc w:val="left"/>
      <w:pPr>
        <w:ind w:left="2641" w:hanging="360"/>
      </w:pPr>
      <w:rPr>
        <w:rFonts w:hint="default"/>
        <w:lang w:val="el-GR" w:eastAsia="en-US" w:bidi="ar-SA"/>
      </w:rPr>
    </w:lvl>
    <w:lvl w:ilvl="3" w:tplc="08C010DA">
      <w:numFmt w:val="bullet"/>
      <w:lvlText w:val="•"/>
      <w:lvlJc w:val="left"/>
      <w:pPr>
        <w:ind w:left="3542" w:hanging="360"/>
      </w:pPr>
      <w:rPr>
        <w:rFonts w:hint="default"/>
        <w:lang w:val="el-GR" w:eastAsia="en-US" w:bidi="ar-SA"/>
      </w:rPr>
    </w:lvl>
    <w:lvl w:ilvl="4" w:tplc="E61EC4C4">
      <w:numFmt w:val="bullet"/>
      <w:lvlText w:val="•"/>
      <w:lvlJc w:val="left"/>
      <w:pPr>
        <w:ind w:left="4443" w:hanging="360"/>
      </w:pPr>
      <w:rPr>
        <w:rFonts w:hint="default"/>
        <w:lang w:val="el-GR" w:eastAsia="en-US" w:bidi="ar-SA"/>
      </w:rPr>
    </w:lvl>
    <w:lvl w:ilvl="5" w:tplc="0B9EE956">
      <w:numFmt w:val="bullet"/>
      <w:lvlText w:val="•"/>
      <w:lvlJc w:val="left"/>
      <w:pPr>
        <w:ind w:left="5344" w:hanging="360"/>
      </w:pPr>
      <w:rPr>
        <w:rFonts w:hint="default"/>
        <w:lang w:val="el-GR" w:eastAsia="en-US" w:bidi="ar-SA"/>
      </w:rPr>
    </w:lvl>
    <w:lvl w:ilvl="6" w:tplc="2E68B930">
      <w:numFmt w:val="bullet"/>
      <w:lvlText w:val="•"/>
      <w:lvlJc w:val="left"/>
      <w:pPr>
        <w:ind w:left="6244" w:hanging="360"/>
      </w:pPr>
      <w:rPr>
        <w:rFonts w:hint="default"/>
        <w:lang w:val="el-GR" w:eastAsia="en-US" w:bidi="ar-SA"/>
      </w:rPr>
    </w:lvl>
    <w:lvl w:ilvl="7" w:tplc="1E5ADBAC">
      <w:numFmt w:val="bullet"/>
      <w:lvlText w:val="•"/>
      <w:lvlJc w:val="left"/>
      <w:pPr>
        <w:ind w:left="7145" w:hanging="360"/>
      </w:pPr>
      <w:rPr>
        <w:rFonts w:hint="default"/>
        <w:lang w:val="el-GR" w:eastAsia="en-US" w:bidi="ar-SA"/>
      </w:rPr>
    </w:lvl>
    <w:lvl w:ilvl="8" w:tplc="DF9ABC80">
      <w:numFmt w:val="bullet"/>
      <w:lvlText w:val="•"/>
      <w:lvlJc w:val="left"/>
      <w:pPr>
        <w:ind w:left="8046" w:hanging="360"/>
      </w:pPr>
      <w:rPr>
        <w:rFonts w:hint="default"/>
        <w:lang w:val="el-GR" w:eastAsia="en-US" w:bidi="ar-SA"/>
      </w:rPr>
    </w:lvl>
  </w:abstractNum>
  <w:num w:numId="1" w16cid:durableId="861864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A3172"/>
    <w:rsid w:val="00134E70"/>
    <w:rsid w:val="00153608"/>
    <w:rsid w:val="003E4CF5"/>
    <w:rsid w:val="007A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7A1CC"/>
  <w15:docId w15:val="{2B516D4B-4405-4DDF-8421-4A79E01D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spacing w:line="268" w:lineRule="exact"/>
      <w:ind w:left="11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</w:style>
  <w:style w:type="paragraph" w:styleId="a4">
    <w:name w:val="Title"/>
    <w:basedOn w:val="a"/>
    <w:uiPriority w:val="10"/>
    <w:qFormat/>
    <w:pPr>
      <w:spacing w:before="20"/>
      <w:ind w:left="428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832" w:right="103" w:hanging="360"/>
    </w:pPr>
  </w:style>
  <w:style w:type="paragraph" w:customStyle="1" w:styleId="TableParagraph">
    <w:name w:val="Table Paragraph"/>
    <w:basedOn w:val="a"/>
    <w:uiPriority w:val="1"/>
    <w:qFormat/>
    <w:pPr>
      <w:spacing w:before="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ufrock.com/Assets/ClientPages/pdfs/SEM_Web_Resources/Secondary%20Interest-A-Lyzer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ufrock.com/Assets/ClientPages/pdfs/SEM_Web_Resources/Secondary%20Interest-A-Lyzer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bit.ly/38k8SZk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608</Words>
  <Characters>3284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m3316</dc:creator>
  <cp:lastModifiedBy>ODYSSEAS KONTOMICHIS-AFENTOULIDIS</cp:lastModifiedBy>
  <cp:revision>2</cp:revision>
  <dcterms:created xsi:type="dcterms:W3CDTF">2024-06-01T14:20:00Z</dcterms:created>
  <dcterms:modified xsi:type="dcterms:W3CDTF">2024-06-01T15:48:00Z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2024-06-01T00:00:00Z</vt:filetime>
  </property>
  <property fmtid="{D5CDD505-2E9C-101B-9397-08002B2CF9AE}" pid="5" name="Producer">
    <vt:lpwstr>Microsoft® Word 2016</vt:lpwstr>
  </property>
</Properties>
</file>