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Διάγνωση δεξιοτήτων του/της ΜΜΕΒ μέσω της πρώτης γλώσσας στα Μαθηματικά, τη Φυσική και τη Βιολογία</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de4b4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Το σκεπτικό πίσω από τη διάγνωση των γνώσεων και των δεξιοτήτων, μέσω της πρώτης γλώσσας είναι ότι ο/η εκπαιδευτικός που διδάσκει σε μαθητές και μαθήτριες που έχουν μητρική γλώσσα διαφορετική από την επίσημη γλώσσα του σχολείου</w:t>
      </w:r>
      <w:r w:rsidDel="00000000" w:rsidR="00000000" w:rsidRPr="00000000">
        <w:rPr>
          <w:rFonts w:ascii="Arial" w:cs="Arial" w:eastAsia="Arial" w:hAnsi="Arial"/>
          <w:color w:val="00b050"/>
          <w:sz w:val="24"/>
          <w:szCs w:val="24"/>
          <w:rtl w:val="0"/>
        </w:rPr>
        <w:t xml:space="preserve"> </w:t>
      </w:r>
      <w:r w:rsidDel="00000000" w:rsidR="00000000" w:rsidRPr="00000000">
        <w:rPr>
          <w:rFonts w:ascii="Arial" w:cs="Arial" w:eastAsia="Arial" w:hAnsi="Arial"/>
          <w:sz w:val="24"/>
          <w:szCs w:val="24"/>
          <w:rtl w:val="0"/>
        </w:rPr>
        <w:t xml:space="preserve">μπορεί να βοηθήσει το παιδί να μεταφέρει τις δομές, τις γνώσεις και τις δεξιότητες που έχει ήδη κατακτήσει στην πρώτη του γλώσσα, στη δεύτερη γλώσσα κι έτσι να επιταχύνει την εκμάθησή της, καθώς και να εμπλουτίσει τις ακαδημαϊκές του γνώσεις σε μαθήματα γνωστικών αντικειμένων. </w:t>
      </w:r>
    </w:p>
    <w:p w:rsidR="00000000" w:rsidDel="00000000" w:rsidP="00000000" w:rsidRDefault="00000000" w:rsidRPr="00000000" w14:paraId="00000004">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Σε αυτή τη βάση, είναι σημαντικό με την άφιξη του/της ΜΜΕΒ στο σχολείο να γίνεται διάγνωση των γνώσεών του/της και σε μαθήματα γνωστικού αντικειμένου, μέσω της πρώτης γλώσσας του παιδιού. Αυτό δίνει τη δυνατότητα: </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στο παιδί για μια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αρχική διάγνωση των γνώσεων</w:t>
      </w:r>
      <w:sdt>
        <w:sdtPr>
          <w:tag w:val="goog_rdk_0"/>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 του σε ορισμένα τουλάχιστον μαθήματα, χωρίς το εμπόδιο της γλώσσας, γεγονός που ενισχύει σε μεγάλο βαθμό την αυτοπεποίθησή του∙ </w:t>
          </w:r>
        </w:sdtContent>
      </w:sdt>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στον/στην εκπαιδευτικό της γενικής τάξης ή/και του ενισχυτικού μαθήματος να γνωρίζει το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σημείο εκκίνησης της διδασκαλίας</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του/της, μια βασική προϋπόθεση για τη διαφοροποίηση της διδασκαλίας που καλείται να εφαρμόσει.</w:t>
      </w:r>
    </w:p>
    <w:p w:rsidR="00000000" w:rsidDel="00000000" w:rsidP="00000000" w:rsidRDefault="00000000" w:rsidRPr="00000000" w14:paraId="00000007">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Για τον σκοπό αυτό, έχουν ετοιμαστεί διαγνωστικά δοκίμια των γνώσεων στα </w:t>
      </w:r>
      <w:r w:rsidDel="00000000" w:rsidR="00000000" w:rsidRPr="00000000">
        <w:rPr>
          <w:rFonts w:ascii="Arial" w:cs="Arial" w:eastAsia="Arial" w:hAnsi="Arial"/>
          <w:b w:val="1"/>
          <w:sz w:val="24"/>
          <w:szCs w:val="24"/>
          <w:rtl w:val="0"/>
        </w:rPr>
        <w:t xml:space="preserve">Μαθηματικά</w:t>
      </w:r>
      <w:r w:rsidDel="00000000" w:rsidR="00000000" w:rsidRPr="00000000">
        <w:rPr>
          <w:rFonts w:ascii="Arial" w:cs="Arial" w:eastAsia="Arial" w:hAnsi="Arial"/>
          <w:sz w:val="24"/>
          <w:szCs w:val="24"/>
          <w:rtl w:val="0"/>
        </w:rPr>
        <w:t xml:space="preserve"> και στις </w:t>
      </w:r>
      <w:r w:rsidDel="00000000" w:rsidR="00000000" w:rsidRPr="00000000">
        <w:rPr>
          <w:rFonts w:ascii="Arial" w:cs="Arial" w:eastAsia="Arial" w:hAnsi="Arial"/>
          <w:b w:val="1"/>
          <w:sz w:val="24"/>
          <w:szCs w:val="24"/>
          <w:rtl w:val="0"/>
        </w:rPr>
        <w:t xml:space="preserve">Φυσικές Επιστήμες (Βιολογία και Φυσική)</w:t>
      </w:r>
      <w:r w:rsidDel="00000000" w:rsidR="00000000" w:rsidRPr="00000000">
        <w:rPr>
          <w:rFonts w:ascii="Arial" w:cs="Arial" w:eastAsia="Arial" w:hAnsi="Arial"/>
          <w:sz w:val="24"/>
          <w:szCs w:val="24"/>
          <w:rtl w:val="0"/>
        </w:rPr>
        <w:t xml:space="preserve"> μεταφρασμένα στα </w:t>
      </w:r>
      <w:r w:rsidDel="00000000" w:rsidR="00000000" w:rsidRPr="00000000">
        <w:rPr>
          <w:rFonts w:ascii="Arial" w:cs="Arial" w:eastAsia="Arial" w:hAnsi="Arial"/>
          <w:b w:val="1"/>
          <w:sz w:val="24"/>
          <w:szCs w:val="24"/>
          <w:rtl w:val="0"/>
        </w:rPr>
        <w:t xml:space="preserve">αγγλικά, γαλλικά, ρωσικά, αραβικά, ρουμανικά, βουλγαρικά</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περσικά,</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τουρκικά</w:t>
      </w:r>
      <w:r w:rsidDel="00000000" w:rsidR="00000000" w:rsidRPr="00000000">
        <w:rPr>
          <w:rFonts w:ascii="Arial" w:cs="Arial" w:eastAsia="Arial" w:hAnsi="Arial"/>
          <w:sz w:val="24"/>
          <w:szCs w:val="24"/>
          <w:rtl w:val="0"/>
        </w:rPr>
        <w:t xml:space="preserve"> και </w:t>
      </w:r>
      <w:r w:rsidDel="00000000" w:rsidR="00000000" w:rsidRPr="00000000">
        <w:rPr>
          <w:rFonts w:ascii="Arial" w:cs="Arial" w:eastAsia="Arial" w:hAnsi="Arial"/>
          <w:b w:val="1"/>
          <w:sz w:val="24"/>
          <w:szCs w:val="24"/>
          <w:rtl w:val="0"/>
        </w:rPr>
        <w:t xml:space="preserve">ουκρανικά</w:t>
      </w:r>
      <w:r w:rsidDel="00000000" w:rsidR="00000000" w:rsidRPr="00000000">
        <w:rPr>
          <w:rFonts w:ascii="Arial" w:cs="Arial" w:eastAsia="Arial" w:hAnsi="Arial"/>
          <w:sz w:val="24"/>
          <w:szCs w:val="24"/>
          <w:rtl w:val="0"/>
        </w:rPr>
        <w:t xml:space="preserve"> καθώς και σχετικές οδηγίες χορήγησης και διόρθωσης, που μπορούν να αξιοποιηθούν από τους/τις εκπαιδευτικούς των συγκεκριμένων ειδικοτήτων. </w:t>
      </w:r>
    </w:p>
    <w:p w:rsidR="00000000" w:rsidDel="00000000" w:rsidP="00000000" w:rsidRDefault="00000000" w:rsidRPr="00000000" w14:paraId="00000008">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9">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B">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E">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F">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1">
      <w:pPr>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ΟΔΗΓΙΕΣ ΧΟΡΗΓΗΣΗΣ ΚΑΙ ΔΙΟΡΘΩΣΗΣ ΤΩΝ ΔΙΑΓΝΩΣΤΙΚΩΝ ΔΟΚΙΜΙΩΝ </w:t>
      </w:r>
    </w:p>
    <w:p w:rsidR="00000000" w:rsidDel="00000000" w:rsidP="00000000" w:rsidRDefault="00000000" w:rsidRPr="00000000" w14:paraId="00000012">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Ο ηλεκτρονικός φάκελος περιέχει: </w:t>
      </w:r>
    </w:p>
    <w:p w:rsidR="00000000" w:rsidDel="00000000" w:rsidP="00000000" w:rsidRDefault="00000000" w:rsidRPr="00000000" w14:paraId="00000013">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 Διαγνωστικό Δοκίμιο στα Μαθηματικά – για τα παιδιά που θα φοιτήσουν στην Α΄ Γυμνασίου</w:t>
      </w:r>
    </w:p>
    <w:p w:rsidR="00000000" w:rsidDel="00000000" w:rsidP="00000000" w:rsidRDefault="00000000" w:rsidRPr="00000000" w14:paraId="00000014">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2. Διαγνωστικό Δοκίμιο στα Μαθηματικά – για τα παιδιά που θα φοιτήσουν στη Β΄ Γυμνασίου</w:t>
      </w:r>
    </w:p>
    <w:p w:rsidR="00000000" w:rsidDel="00000000" w:rsidP="00000000" w:rsidRDefault="00000000" w:rsidRPr="00000000" w14:paraId="00000015">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 Διαγνωστικό Δοκίμιο στα Μαθηματικά – για τα παιδιά που θα φοιτήσουν στη </w:t>
      </w:r>
    </w:p>
    <w:p w:rsidR="00000000" w:rsidDel="00000000" w:rsidP="00000000" w:rsidRDefault="00000000" w:rsidRPr="00000000" w14:paraId="00000016">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Γ΄ Γυμνασίου</w:t>
      </w:r>
    </w:p>
    <w:p w:rsidR="00000000" w:rsidDel="00000000" w:rsidP="00000000" w:rsidRDefault="00000000" w:rsidRPr="00000000" w14:paraId="00000017">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4. Διαγνωστικό Δοκίμιο στα Μαθηματικά – για τα παιδιά που θα φοιτήσουν στην Α΄ Λυκείου</w:t>
      </w:r>
    </w:p>
    <w:p w:rsidR="00000000" w:rsidDel="00000000" w:rsidP="00000000" w:rsidRDefault="00000000" w:rsidRPr="00000000" w14:paraId="00000018">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5. Διαγνωστικό Δοκίμιο στη Φυσική - για τα παιδιά που θα φοιτήσουν στη Β΄ Γυμνασίου θα χορηγηθεί μόνο το Μέρος Α΄, ενώ για τα παιδιά που θα φοιτήσουν στη Γ΄ Γυμνασίου θα χορηγηθεί το Μέρος Α΄ και το Μέρος Β΄.  </w:t>
      </w:r>
    </w:p>
    <w:p w:rsidR="00000000" w:rsidDel="00000000" w:rsidP="00000000" w:rsidRDefault="00000000" w:rsidRPr="00000000" w14:paraId="00000019">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6. Διαγνωστικό Δοκίμιο στη Βιολογία – για όλα τα παιδιά θα δοθεί το ίδιο δοκίμιο και ο/η εκπαιδευτικός μέσα από αυτό θα ανιχνεύσει τις γνώσεις και τις δεξιότητες του κάθε παιδιού και αναλόγως θα προσαρμόσει τη διδασκαλία του/της.</w:t>
      </w:r>
    </w:p>
    <w:p w:rsidR="00000000" w:rsidDel="00000000" w:rsidP="00000000" w:rsidRDefault="00000000" w:rsidRPr="00000000" w14:paraId="0000001A">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B">
      <w:pPr>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Νοείται ότι τα διαγνωστικά δοκίμια </w:t>
      </w:r>
    </w:p>
    <w:p w:rsidR="00000000" w:rsidDel="00000000" w:rsidP="00000000" w:rsidRDefault="00000000" w:rsidRPr="00000000" w14:paraId="0000001C">
      <w:pPr>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ΔΕΝ έχουν αξιολογικό χαρακτήρα.</w:t>
      </w:r>
    </w:p>
    <w:p w:rsidR="00000000" w:rsidDel="00000000" w:rsidP="00000000" w:rsidRDefault="00000000" w:rsidRPr="00000000" w14:paraId="0000001D">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Η διάρκεια όλων των διαγνωστικών δοκιμίων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είναι 60΄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και θα χορηγηθούν από τον διδάσκοντα/τη διδάσκουσα της κάθε ειδικότητας και τάξης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τις πρώτες μέρες της σχολικής χρονιάς</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Για τη διευκόλυνση των εκπαιδευτικών, περιέχονται και οι λύσεις των διαγνωστικών δοκιμίων. </w:t>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Arial Unicode MS"/>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l-G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32622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mcntmsonormal1" w:customStyle="1">
    <w:name w:val="mcntmsonormal1"/>
    <w:basedOn w:val="Normal"/>
    <w:rsid w:val="00326224"/>
    <w:pPr>
      <w:spacing w:after="0" w:line="240" w:lineRule="auto"/>
    </w:pPr>
    <w:rPr>
      <w:rFonts w:ascii="Calibri" w:cs="Calibri" w:hAnsi="Calibri"/>
    </w:rPr>
  </w:style>
  <w:style w:type="paragraph" w:styleId="ListParagraph">
    <w:name w:val="List Paragraph"/>
    <w:basedOn w:val="Normal"/>
    <w:uiPriority w:val="34"/>
    <w:qFormat w:val="1"/>
    <w:rsid w:val="00326224"/>
    <w:pPr>
      <w:ind w:left="720"/>
      <w:contextualSpacing w:val="1"/>
    </w:pPr>
  </w:style>
  <w:style w:type="paragraph" w:styleId="BalloonText">
    <w:name w:val="Balloon Text"/>
    <w:basedOn w:val="Normal"/>
    <w:link w:val="BalloonTextChar"/>
    <w:uiPriority w:val="99"/>
    <w:semiHidden w:val="1"/>
    <w:unhideWhenUsed w:val="1"/>
    <w:rsid w:val="002C2A25"/>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2C2A25"/>
    <w:rPr>
      <w:rFonts w:ascii="Segoe UI" w:cs="Segoe UI" w:hAnsi="Segoe UI"/>
      <w:sz w:val="18"/>
      <w:szCs w:val="18"/>
    </w:rPr>
  </w:style>
  <w:style w:type="character" w:styleId="Hyperlink">
    <w:name w:val="Hyperlink"/>
    <w:basedOn w:val="DefaultParagraphFont"/>
    <w:uiPriority w:val="99"/>
    <w:unhideWhenUsed w:val="1"/>
    <w:rsid w:val="00A73AAD"/>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0iP1aYpqJZxAw6wU+pgPiym2tQ==">CgMxLjAaJAoBMBIfCh0IB0IZCgVBcmlhbBIQQXJpYWwgVW5pY29kZSBNUzIIaC5namRneHM4AHIhMVFKSG90RHE3ODZXS3A4dmNrTVE3VldZcEpDU2tnVXBi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2020-09-15T08:50:00Z</dcterms:created>
  <dc:creator>Maria Pitzioli</dc:creator>
</cp:coreProperties>
</file>