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906D8" w14:textId="1CD214CF" w:rsidR="00A11B10" w:rsidRDefault="00A233D5" w:rsidP="00F81B8A">
      <w:pPr>
        <w:shd w:val="clear" w:color="auto" w:fill="FFFFFF" w:themeFill="background1"/>
        <w:ind w:left="-630" w:right="-630"/>
        <w:jc w:val="center"/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</w:pPr>
      <w:r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Οδηγίες για τη συμπλήρωση του Ηλεκτρονικού Εντύπου 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(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</w:rPr>
        <w:t>excel</w:t>
      </w:r>
      <w:r w:rsidR="00570E17" w:rsidRP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) </w:t>
      </w:r>
      <w:bookmarkStart w:id="0" w:name="_Hlk175609684"/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για την καταχώριση των α</w:t>
      </w:r>
      <w:r w:rsidR="00F81B8A"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ποτελ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εσμάτων της</w:t>
      </w:r>
      <w:r w:rsidR="00F81B8A"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Αρχικής Διαγνωστικής Αξιολόγησης </w:t>
      </w:r>
      <w:bookmarkEnd w:id="0"/>
      <w:r w:rsidR="00105C76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                                                 για την Ελληνική Γλώσσα για </w:t>
      </w:r>
      <w:r w:rsidR="00105C76" w:rsidRPr="00105C76">
        <w:rPr>
          <w:rFonts w:ascii="Arial" w:hAnsi="Arial" w:cs="Arial"/>
          <w:b/>
          <w:sz w:val="24"/>
          <w:szCs w:val="24"/>
          <w:lang w:val="el-GR"/>
        </w:rPr>
        <w:t xml:space="preserve"> Παιδιά με Μεταναστευτική Βιογραφία</w:t>
      </w:r>
      <w:r w:rsidR="00105C76"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</w:t>
      </w:r>
      <w:r w:rsidR="00105C76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                             </w:t>
      </w:r>
    </w:p>
    <w:p w14:paraId="4CD16AB5" w14:textId="6FEAC69B" w:rsidR="008F3BF1" w:rsidRPr="00A11B10" w:rsidRDefault="00F81B8A" w:rsidP="00A11B10">
      <w:pPr>
        <w:shd w:val="clear" w:color="auto" w:fill="FFFFFF" w:themeFill="background1"/>
        <w:ind w:left="-630" w:right="-630"/>
        <w:jc w:val="center"/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</w:pPr>
      <w:r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Σχολική Χρονιά 2024 – 202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5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</w:p>
    <w:p w14:paraId="68F3C0B8" w14:textId="14A17DAD" w:rsidR="0015391A" w:rsidRDefault="008F3BF1" w:rsidP="0015391A">
      <w:pPr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ab/>
      </w:r>
      <w:r w:rsidR="00F81B8A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Το </w:t>
      </w:r>
      <w:r w:rsidR="00F81B8A" w:rsidRPr="00A233D5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Ηλεκτρονικό Έντυπο (</w:t>
      </w:r>
      <w:r w:rsidR="00F81B8A" w:rsidRPr="00A233D5">
        <w:rPr>
          <w:rFonts w:ascii="Arial" w:eastAsia="Times New Roman" w:hAnsi="Arial" w:cs="Arial"/>
          <w:b/>
          <w:iCs/>
          <w:color w:val="000000"/>
          <w:sz w:val="24"/>
          <w:szCs w:val="24"/>
        </w:rPr>
        <w:t>excel</w:t>
      </w:r>
      <w:r w:rsidR="00F81B8A" w:rsidRPr="00A233D5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)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για την καταχώριση των α</w:t>
      </w:r>
      <w:r w:rsidR="00570E17"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ποτελ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>εσμάτων της</w:t>
      </w:r>
      <w:r w:rsidR="00570E17" w:rsidRPr="00F81B8A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Αρχικής Διαγνωστικής Αξιολόγησης στην Ελληνομάθεια</w:t>
      </w:r>
      <w:r w:rsidR="00570E17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  <w:lang w:val="el-GR"/>
        </w:rPr>
        <w:t xml:space="preserve"> </w:t>
      </w:r>
      <w:r w:rsidR="00F81B8A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αποτελείται από τρία (3) φύλλα εργασίας (</w:t>
      </w:r>
      <w:r w:rsidR="00F81B8A" w:rsidRPr="0015391A">
        <w:rPr>
          <w:rFonts w:ascii="Arial" w:eastAsia="Times New Roman" w:hAnsi="Arial" w:cs="Arial"/>
          <w:bCs/>
          <w:iCs/>
          <w:color w:val="000000"/>
          <w:sz w:val="24"/>
          <w:szCs w:val="24"/>
        </w:rPr>
        <w:t>worksheets</w:t>
      </w:r>
      <w:r w:rsidR="00F81B8A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)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  <w:r w:rsid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και 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θα πρέπει να συμπληρωθεί</w:t>
      </w:r>
      <w:r w:rsidR="00570E1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, ανάλογα, 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με ευθύνη των Διευθύνσεων των εμπλεκόμενων σχολικών μονάδων</w:t>
      </w:r>
      <w:r w:rsid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Συγκεκριμένα στο:</w:t>
      </w:r>
      <w:r w:rsid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ab/>
      </w:r>
    </w:p>
    <w:p w14:paraId="67115D92" w14:textId="504E48DE" w:rsidR="0015391A" w:rsidRDefault="0015391A" w:rsidP="0015391A">
      <w:pPr>
        <w:pStyle w:val="ListParagraph"/>
        <w:numPr>
          <w:ilvl w:val="0"/>
          <w:numId w:val="6"/>
        </w:numPr>
        <w:shd w:val="clear" w:color="auto" w:fill="FFFFFF" w:themeFill="background1"/>
        <w:ind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  <w:r w:rsidRPr="00532E47">
        <w:rPr>
          <w:rFonts w:ascii="Arial" w:eastAsia="Times New Roman" w:hAnsi="Arial" w:cs="Arial"/>
          <w:bCs/>
          <w:iCs/>
          <w:color w:val="222A35" w:themeColor="text2" w:themeShade="80"/>
          <w:sz w:val="24"/>
          <w:szCs w:val="24"/>
          <w:u w:val="single"/>
          <w:lang w:val="el-GR"/>
        </w:rPr>
        <w:t>Στο Φύλλο Εργασίας 1</w:t>
      </w:r>
      <w:r w:rsidRPr="00532E47">
        <w:rPr>
          <w:rFonts w:ascii="Arial" w:eastAsia="Times New Roman" w:hAnsi="Arial" w:cs="Arial"/>
          <w:bCs/>
          <w:iCs/>
          <w:color w:val="222A35" w:themeColor="text2" w:themeShade="80"/>
          <w:sz w:val="24"/>
          <w:szCs w:val="24"/>
          <w:lang w:val="el-GR"/>
        </w:rPr>
        <w:t xml:space="preserve"> </w:t>
      </w:r>
      <w:r w:rsidR="009311ED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(αφορά </w:t>
      </w:r>
      <w:r w:rsidR="00570E17" w:rsidRPr="00570E17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>Γυμνάσια, Λύκεια και ΤΕΣΕΚ)</w:t>
      </w:r>
      <w:r w:rsidR="00570E17" w:rsidRPr="00570E17">
        <w:rPr>
          <w:rFonts w:ascii="Arial" w:eastAsia="Times New Roman" w:hAnsi="Arial" w:cs="Arial"/>
          <w:bCs/>
          <w:iCs/>
          <w:color w:val="44546A" w:themeColor="text2"/>
          <w:sz w:val="24"/>
          <w:szCs w:val="24"/>
          <w:lang w:val="el-GR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– </w:t>
      </w:r>
      <w:bookmarkStart w:id="1" w:name="_Hlk174887996"/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Θα καταχωριστούν τα στοιχεία, καθώς και το αποτέλεσμα της Αρχικής Διαγνωστικής Αξιολόγησης </w:t>
      </w:r>
      <w:bookmarkEnd w:id="1"/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όλων </w:t>
      </w:r>
      <w:r w:rsidRPr="0015391A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 xml:space="preserve">των </w:t>
      </w:r>
      <w:proofErr w:type="spellStart"/>
      <w:r w:rsidRPr="0015391A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νεοαφιχθέντων</w:t>
      </w:r>
      <w:proofErr w:type="spellEnd"/>
      <w:r w:rsidRPr="0015391A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 xml:space="preserve"> παιδιών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, δηλαδή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των μαθητών/μαθητριών 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που δεν κατέχουν Απολυτήριο από δημόσιο Δημοτικό 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- </w:t>
      </w:r>
      <w:r w:rsidR="00570E1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ισχύει για μαθητές/μαθήτριες Γυμνασίου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- </w:t>
      </w:r>
      <w:r w:rsidR="00570E1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ή δημόσιο Γυμνάσιο 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- </w:t>
      </w:r>
      <w:r w:rsidR="00570E1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ισχύει για μαθητές Λυκείου ή ΤΕΣΕΚ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-</w:t>
      </w:r>
      <w:r w:rsidR="00570E1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  <w:r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(ή ιδίου τύπου σχολείο).</w:t>
      </w:r>
    </w:p>
    <w:p w14:paraId="729EEE9B" w14:textId="77777777" w:rsidR="0015391A" w:rsidRDefault="0015391A" w:rsidP="0015391A">
      <w:pPr>
        <w:pStyle w:val="ListParagraph"/>
        <w:shd w:val="clear" w:color="auto" w:fill="FFFFFF" w:themeFill="background1"/>
        <w:ind w:left="102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71E095B0" w14:textId="2ABC19B8" w:rsidR="00532E47" w:rsidRDefault="0015391A" w:rsidP="00A502E6">
      <w:pPr>
        <w:pStyle w:val="ListParagraph"/>
        <w:numPr>
          <w:ilvl w:val="0"/>
          <w:numId w:val="6"/>
        </w:numPr>
        <w:shd w:val="clear" w:color="auto" w:fill="FFFFFF" w:themeFill="background1"/>
        <w:ind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  <w:r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u w:val="single"/>
          <w:lang w:val="el-GR"/>
        </w:rPr>
        <w:t>Στο Φύλλο Εργασίας 2</w:t>
      </w:r>
      <w:r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  <w:r w:rsidR="00570E17" w:rsidRPr="007F67DE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>(</w:t>
      </w:r>
      <w:r w:rsidR="009311ED" w:rsidRPr="007F67DE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αφορά </w:t>
      </w:r>
      <w:r w:rsidR="009311ED" w:rsidRPr="007F67DE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u w:val="single"/>
          <w:lang w:val="el-GR"/>
        </w:rPr>
        <w:t>μόνο</w:t>
      </w:r>
      <w:r w:rsidR="009311ED" w:rsidRPr="007F67DE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 τα </w:t>
      </w:r>
      <w:r w:rsidR="00570E17" w:rsidRPr="007F67DE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Γυμνάσια) </w:t>
      </w:r>
      <w:r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- Θα καταχωριστούν τα στοιχεία, καθώς και το αποτέλεσμα της Αρχικής Διαγνωστικής Αξιολόγησης</w:t>
      </w:r>
      <w:r w:rsidRPr="007F67DE">
        <w:rPr>
          <w:lang w:val="el-GR"/>
        </w:rPr>
        <w:t xml:space="preserve"> </w:t>
      </w:r>
      <w:r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μαθητών/μαθ</w:t>
      </w:r>
      <w:r w:rsidR="00532E47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ητριών</w:t>
      </w:r>
      <w:r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που θα φοιτήσουν στην Α΄ Γυμνασίου και οι οποίοι/οποίες </w:t>
      </w:r>
      <w:r w:rsidR="007F67DE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δεν αξιολογήθηκαν στην Ελληνομάθεια από το Κέντρο Εκπαιδευτικής Έρευνας και Αξιολόγησης (ΚΕΕΑ) του Παιδαγωγικού Ινστιτούτου (ΠΙ), </w:t>
      </w:r>
      <w:r w:rsidR="007F67DE" w:rsidRPr="007F67DE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λόγω απουσίας</w:t>
      </w:r>
      <w:r w:rsidR="007F67DE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(</w:t>
      </w:r>
      <w:proofErr w:type="spellStart"/>
      <w:r w:rsidR="007F67DE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αρ</w:t>
      </w:r>
      <w:proofErr w:type="spellEnd"/>
      <w:r w:rsidR="007F67DE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απουσίας 1), </w:t>
      </w:r>
      <w:r w:rsidR="007F67DE" w:rsidRPr="007F67DE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 xml:space="preserve">κατά την ημέρα χορήγησης του Δοκιμίου, κατά τη φοίτησή τους στη </w:t>
      </w:r>
      <w:proofErr w:type="spellStart"/>
      <w:r w:rsidR="007F67DE" w:rsidRPr="007F67DE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Στ</w:t>
      </w:r>
      <w:proofErr w:type="spellEnd"/>
      <w:r w:rsidR="007F67DE" w:rsidRPr="007F67DE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΄ δημοτικού (σχ. χρονιά 2023 - 2024)</w:t>
      </w:r>
      <w:r w:rsidR="007F67DE" w:rsidRPr="007F67DE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         </w:t>
      </w:r>
    </w:p>
    <w:p w14:paraId="3F72BB09" w14:textId="77777777" w:rsidR="007F67DE" w:rsidRPr="007F67DE" w:rsidRDefault="007F67DE" w:rsidP="007F67DE">
      <w:pPr>
        <w:pStyle w:val="ListParagrap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0A7ED9B5" w14:textId="77777777" w:rsidR="007F67DE" w:rsidRPr="007F67DE" w:rsidRDefault="007F67DE" w:rsidP="007F67DE">
      <w:pPr>
        <w:pStyle w:val="ListParagraph"/>
        <w:shd w:val="clear" w:color="auto" w:fill="FFFFFF" w:themeFill="background1"/>
        <w:ind w:left="102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6557F650" w14:textId="2110B5C5" w:rsidR="00532E47" w:rsidRDefault="00532E47" w:rsidP="00532E47">
      <w:pPr>
        <w:pStyle w:val="ListParagraph"/>
        <w:numPr>
          <w:ilvl w:val="0"/>
          <w:numId w:val="6"/>
        </w:numPr>
        <w:shd w:val="clear" w:color="auto" w:fill="FFFFFF" w:themeFill="background1"/>
        <w:ind w:right="-630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</w:pP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u w:val="single"/>
          <w:lang w:val="el-GR"/>
        </w:rPr>
        <w:t>Στο Φύλλο Εργασίας 3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</w:t>
      </w:r>
      <w:r w:rsidR="00570E17" w:rsidRPr="00570E17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>(</w:t>
      </w:r>
      <w:r w:rsidR="009311ED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αφορά </w:t>
      </w:r>
      <w:r w:rsidR="009311ED" w:rsidRPr="009311ED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u w:val="single"/>
          <w:lang w:val="el-GR"/>
        </w:rPr>
        <w:t>μόνο</w:t>
      </w:r>
      <w:r w:rsidR="009311ED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 xml:space="preserve"> τα </w:t>
      </w:r>
      <w:r w:rsidR="00570E17" w:rsidRPr="00570E17">
        <w:rPr>
          <w:rFonts w:ascii="Arial" w:eastAsia="Times New Roman" w:hAnsi="Arial" w:cs="Arial"/>
          <w:b/>
          <w:iCs/>
          <w:color w:val="44546A" w:themeColor="text2"/>
          <w:sz w:val="24"/>
          <w:szCs w:val="24"/>
          <w:lang w:val="el-GR"/>
        </w:rPr>
        <w:t>Γυμνάσια)</w:t>
      </w:r>
      <w:r w:rsidR="00570E17" w:rsidRPr="00570E17">
        <w:rPr>
          <w:rFonts w:ascii="Arial" w:eastAsia="Times New Roman" w:hAnsi="Arial" w:cs="Arial"/>
          <w:bCs/>
          <w:iCs/>
          <w:color w:val="44546A" w:themeColor="text2"/>
          <w:sz w:val="24"/>
          <w:szCs w:val="24"/>
          <w:lang w:val="el-GR"/>
        </w:rPr>
        <w:t xml:space="preserve"> 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- Θα καταχωριστούν τα στοιχεία, καθώς και το αποτέλεσμα της Αρχικής Διαγνωστικής Αξιολόγησης</w:t>
      </w:r>
      <w:r w:rsidRPr="00532E47">
        <w:rPr>
          <w:lang w:val="el-GR"/>
        </w:rPr>
        <w:t xml:space="preserve"> </w:t>
      </w:r>
      <w:r w:rsidRPr="00532E47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 xml:space="preserve">μαθητών/μαθητριών που ανήκουν στο Πρόγραμμα της Ειδικής Αγωγής 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και δεν αξιολογήθηκαν, κατά τη φοίτησή τους στη </w:t>
      </w:r>
      <w:proofErr w:type="spellStart"/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Στ</w:t>
      </w:r>
      <w:proofErr w:type="spellEnd"/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΄ Δημοτικού, στην Ελληνομάθεια από ΚΕΕΑ του ΠΙ. </w:t>
      </w:r>
    </w:p>
    <w:p w14:paraId="7A913C51" w14:textId="77777777" w:rsidR="00532E47" w:rsidRPr="00532E47" w:rsidRDefault="00532E47" w:rsidP="00532E47">
      <w:pPr>
        <w:pStyle w:val="ListParagrap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18C79990" w14:textId="66F4D8C8" w:rsidR="009311ED" w:rsidRDefault="00532E47" w:rsidP="00532E47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ab/>
      </w:r>
      <w:r w:rsidR="00A11B10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2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Υπενθυμίζεται ότι </w:t>
      </w:r>
      <w:r w:rsidRPr="00532E47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το Δοκίμιο Αρχικής Διαγνωστικής Αξιολόγησης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θα πρέπει να χορηγηθεί στους/στις προαναφερθέντες/προαναφερθείσες μαθητές/μαθήτριες οπωσδήποτε </w:t>
      </w:r>
      <w:r w:rsidRPr="00532E47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μέχρι τις 13/9/2024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, αφού πρώτα </w:t>
      </w:r>
      <w:r w:rsidRPr="00532E47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>εξασφαλιστεί η γραπτή συγκατάθεση των γονέων/κηδεμόνων</w:t>
      </w:r>
      <w:r w:rsidRPr="00532E47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</w:t>
      </w:r>
    </w:p>
    <w:p w14:paraId="04FD413F" w14:textId="77777777" w:rsidR="009311ED" w:rsidRDefault="009311ED" w:rsidP="00532E47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474A8915" w14:textId="1AD9CA69" w:rsidR="00532E47" w:rsidRPr="009311ED" w:rsidRDefault="009311ED" w:rsidP="00532E47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val="el-GR"/>
        </w:rPr>
      </w:pP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ab/>
      </w:r>
      <w:r w:rsidR="00A11B10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3</w:t>
      </w:r>
      <w:r w:rsidRP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. </w:t>
      </w:r>
      <w:r w:rsidR="00C32B45" w:rsidRP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Για περιπτώσεις</w:t>
      </w:r>
      <w:r w:rsidR="00C32B45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 xml:space="preserve"> </w:t>
      </w:r>
      <w:r w:rsidR="00C32B45">
        <w:rPr>
          <w:rFonts w:ascii="Arial" w:hAnsi="Arial" w:cs="Arial"/>
          <w:sz w:val="24"/>
          <w:szCs w:val="24"/>
          <w:lang w:val="el-GR"/>
        </w:rPr>
        <w:t>μ</w:t>
      </w:r>
      <w:r w:rsidR="00C32B45" w:rsidRPr="00BD3F24">
        <w:rPr>
          <w:rFonts w:ascii="Arial" w:hAnsi="Arial" w:cs="Arial"/>
          <w:sz w:val="24"/>
          <w:szCs w:val="24"/>
          <w:lang w:val="el-GR"/>
        </w:rPr>
        <w:t>αθητ</w:t>
      </w:r>
      <w:r w:rsidR="00C32B45">
        <w:rPr>
          <w:rFonts w:ascii="Arial" w:hAnsi="Arial" w:cs="Arial"/>
          <w:sz w:val="24"/>
          <w:szCs w:val="24"/>
          <w:lang w:val="el-GR"/>
        </w:rPr>
        <w:t>ών</w:t>
      </w:r>
      <w:r w:rsidR="00C32B45" w:rsidRPr="00BD3F24">
        <w:rPr>
          <w:rFonts w:ascii="Arial" w:hAnsi="Arial" w:cs="Arial"/>
          <w:sz w:val="24"/>
          <w:szCs w:val="24"/>
          <w:lang w:val="el-GR"/>
        </w:rPr>
        <w:t>/</w:t>
      </w:r>
      <w:r w:rsidR="00C32B45">
        <w:rPr>
          <w:rFonts w:ascii="Arial" w:hAnsi="Arial" w:cs="Arial"/>
          <w:sz w:val="24"/>
          <w:szCs w:val="24"/>
          <w:lang w:val="el-GR"/>
        </w:rPr>
        <w:t>μ</w:t>
      </w:r>
      <w:r w:rsidR="00C32B45" w:rsidRPr="00BD3F24">
        <w:rPr>
          <w:rFonts w:ascii="Arial" w:hAnsi="Arial" w:cs="Arial"/>
          <w:sz w:val="24"/>
          <w:szCs w:val="24"/>
          <w:lang w:val="el-GR"/>
        </w:rPr>
        <w:t>αθ</w:t>
      </w:r>
      <w:r w:rsidR="00C32B45">
        <w:rPr>
          <w:rFonts w:ascii="Arial" w:hAnsi="Arial" w:cs="Arial"/>
          <w:sz w:val="24"/>
          <w:szCs w:val="24"/>
          <w:lang w:val="el-GR"/>
        </w:rPr>
        <w:t xml:space="preserve">ητριών, που ανήκουν στις πιο πάνω κατηγορίες και για τους οποίους/οποίες δεν </w:t>
      </w:r>
      <w:r w:rsidR="00C32B45" w:rsidRPr="00BD3F24">
        <w:rPr>
          <w:rFonts w:ascii="Arial" w:hAnsi="Arial" w:cs="Arial"/>
          <w:sz w:val="24"/>
          <w:szCs w:val="24"/>
          <w:lang w:val="el-GR"/>
        </w:rPr>
        <w:t>έχει εξασφαλιστεί η γραπτή συγκατάθεση γονέων/κηδεμόνων</w:t>
      </w:r>
      <w:r w:rsidR="00C32B45">
        <w:rPr>
          <w:rFonts w:ascii="Arial" w:hAnsi="Arial" w:cs="Arial"/>
          <w:sz w:val="24"/>
          <w:szCs w:val="24"/>
          <w:lang w:val="el-GR"/>
        </w:rPr>
        <w:t xml:space="preserve"> προκειμένου να τους χορηγηθεί το υπό αναφορά Δοκίμιο,</w:t>
      </w:r>
      <w:r w:rsidR="00C32B45" w:rsidRPr="00BD3F24">
        <w:rPr>
          <w:rFonts w:ascii="Arial" w:hAnsi="Arial" w:cs="Arial"/>
          <w:sz w:val="24"/>
          <w:szCs w:val="24"/>
          <w:lang w:val="el-GR"/>
        </w:rPr>
        <w:t xml:space="preserve"> θα</w:t>
      </w:r>
      <w:r w:rsidR="00C32B45">
        <w:rPr>
          <w:rFonts w:ascii="Arial" w:hAnsi="Arial" w:cs="Arial"/>
          <w:sz w:val="24"/>
          <w:szCs w:val="24"/>
          <w:lang w:val="el-GR"/>
        </w:rPr>
        <w:t xml:space="preserve"> καταχωρίζεται στο ανάλογο </w:t>
      </w:r>
      <w:r w:rsidR="00C32B45" w:rsidRPr="009311ED">
        <w:rPr>
          <w:rFonts w:ascii="Arial" w:hAnsi="Arial" w:cs="Arial"/>
          <w:sz w:val="24"/>
          <w:szCs w:val="24"/>
          <w:lang w:val="el-GR"/>
        </w:rPr>
        <w:t>Φύλλο Εργασίας</w:t>
      </w:r>
      <w:r w:rsidR="00C32B45" w:rsidRPr="009311ED">
        <w:rPr>
          <w:rFonts w:ascii="Arial" w:hAnsi="Arial" w:cs="Arial"/>
          <w:b/>
          <w:bCs/>
          <w:sz w:val="24"/>
          <w:szCs w:val="24"/>
          <w:lang w:val="el-GR"/>
        </w:rPr>
        <w:t xml:space="preserve"> μόνο το ονοματεπώνυμό τους</w:t>
      </w:r>
      <w:r w:rsidR="00C32B45" w:rsidRPr="009311ED">
        <w:rPr>
          <w:rFonts w:ascii="Arial" w:hAnsi="Arial" w:cs="Arial"/>
          <w:sz w:val="24"/>
          <w:szCs w:val="24"/>
          <w:lang w:val="el-GR"/>
        </w:rPr>
        <w:t xml:space="preserve"> και στη στήλη «Παρατηρήσεις» θα σημειώνεται ότι </w:t>
      </w:r>
      <w:r w:rsidR="00C32B45" w:rsidRPr="009311ED">
        <w:rPr>
          <w:rFonts w:ascii="Arial" w:hAnsi="Arial" w:cs="Arial"/>
          <w:b/>
          <w:bCs/>
          <w:sz w:val="24"/>
          <w:szCs w:val="24"/>
          <w:lang w:val="el-GR"/>
        </w:rPr>
        <w:t>«Δεν  υπάρχει συγκατάθεση γονέων/κηδεμόνων».</w:t>
      </w:r>
    </w:p>
    <w:p w14:paraId="1179CED0" w14:textId="64D323DD" w:rsidR="00532E47" w:rsidRPr="00532E47" w:rsidRDefault="00532E47" w:rsidP="00532E47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08FFAF6C" w14:textId="3A80F8D5" w:rsidR="00532E47" w:rsidRPr="00A11B10" w:rsidRDefault="00532E47" w:rsidP="00A11B10">
      <w:pPr>
        <w:shd w:val="clear" w:color="auto" w:fill="FFFFFF" w:themeFill="background1"/>
        <w:ind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</w:p>
    <w:p w14:paraId="53F97C01" w14:textId="41CF958A" w:rsidR="00532E47" w:rsidRPr="00532E47" w:rsidRDefault="00A11B10" w:rsidP="00A11B10">
      <w:pPr>
        <w:pStyle w:val="ListParagraph"/>
        <w:shd w:val="clear" w:color="auto" w:fill="FFFFFF" w:themeFill="background1"/>
        <w:ind w:left="-630" w:right="-630" w:firstLine="720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</w:pPr>
      <w:r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lastRenderedPageBreak/>
        <w:t>4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. Επισημαίνεται ότι το εν λόγω Ηλεκτρονικό Έντυπο θα</w:t>
      </w:r>
      <w:r w:rsidR="009311ED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 πρέπει να αποσταλεί πλήρως συμπληρωμένο από το ηλεκτρονικό ταχυδρομείο κάθε σχολείου (για σκοπούς διασφάλισης των προσωπικών δεδομένων) στο ηλεκτρονικό ταχυδρομείο του Τομέα ΜΒ (</w:t>
      </w:r>
      <w:hyperlink r:id="rId7" w:history="1">
        <w:r w:rsidR="009311ED" w:rsidRPr="00A01972">
          <w:rPr>
            <w:rStyle w:val="Hyperlink"/>
            <w:rFonts w:ascii="Arial" w:eastAsia="Times New Roman" w:hAnsi="Arial" w:cs="Arial"/>
            <w:bCs/>
            <w:iCs/>
            <w:sz w:val="24"/>
            <w:szCs w:val="24"/>
            <w:lang w:val="el-GR"/>
          </w:rPr>
          <w:t>dme-metanasteftiki-viografia@schools.ac.cy</w:t>
        </w:r>
      </w:hyperlink>
      <w:r w:rsidR="009311ED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)</w:t>
      </w:r>
      <w:r w:rsidR="009311ED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 xml:space="preserve">, </w:t>
      </w:r>
      <w:r w:rsidR="009311ED" w:rsidRPr="0015391A"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  <w:t>το αργότερο μέχρι τις 17/9/2024.</w:t>
      </w:r>
    </w:p>
    <w:p w14:paraId="4C0C891F" w14:textId="7DB99188" w:rsidR="00925F61" w:rsidRPr="00A233D5" w:rsidRDefault="00532E47" w:rsidP="00925F61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val="el-GR"/>
        </w:rPr>
      </w:pPr>
      <w:r w:rsidRPr="00532E47"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ab/>
      </w:r>
    </w:p>
    <w:p w14:paraId="37F1C33B" w14:textId="77777777" w:rsidR="00925F61" w:rsidRDefault="00925F61" w:rsidP="00925F61">
      <w:pPr>
        <w:pStyle w:val="ListParagraph"/>
        <w:shd w:val="clear" w:color="auto" w:fill="FFFFFF" w:themeFill="background1"/>
        <w:ind w:left="-630" w:right="-630"/>
        <w:jc w:val="both"/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</w:pPr>
    </w:p>
    <w:p w14:paraId="4AF9DD75" w14:textId="6180B879" w:rsidR="00A233D5" w:rsidRDefault="00925F61" w:rsidP="00A233D5">
      <w:pPr>
        <w:pStyle w:val="ListParagraph"/>
        <w:shd w:val="clear" w:color="auto" w:fill="FFFFFF" w:themeFill="background1"/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eastAsia="Times New Roman" w:hAnsi="Arial" w:cs="Arial"/>
          <w:b/>
          <w:iCs/>
          <w:color w:val="000000"/>
          <w:sz w:val="24"/>
          <w:szCs w:val="24"/>
          <w:lang w:val="el-GR"/>
        </w:rPr>
        <w:tab/>
      </w:r>
    </w:p>
    <w:p w14:paraId="6932BF66" w14:textId="76E94E80" w:rsidR="00804854" w:rsidRPr="006E3F3B" w:rsidRDefault="00804854" w:rsidP="006E3F3B">
      <w:pPr>
        <w:shd w:val="clear" w:color="auto" w:fill="FFFFFF" w:themeFill="background1"/>
        <w:ind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5AE5AB48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37E8D355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7A00261D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72C31640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41398EDC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582A6044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6CBC0271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03B69EEB" w14:textId="77777777" w:rsidR="00804854" w:rsidRDefault="00804854" w:rsidP="00F81B8A">
      <w:pPr>
        <w:ind w:left="-630" w:right="-630"/>
        <w:jc w:val="both"/>
        <w:rPr>
          <w:rFonts w:ascii="Arial" w:hAnsi="Arial" w:cs="Arial"/>
          <w:sz w:val="24"/>
          <w:szCs w:val="24"/>
          <w:lang w:val="el-GR"/>
        </w:rPr>
      </w:pPr>
    </w:p>
    <w:p w14:paraId="309824E3" w14:textId="77777777" w:rsidR="00A233D5" w:rsidRPr="00804854" w:rsidRDefault="00A233D5" w:rsidP="00F81B8A">
      <w:pPr>
        <w:ind w:left="-630" w:right="-630"/>
        <w:jc w:val="both"/>
        <w:rPr>
          <w:lang w:val="el-GR"/>
        </w:rPr>
      </w:pPr>
    </w:p>
    <w:sectPr w:rsidR="00A233D5" w:rsidRPr="00804854" w:rsidSect="009311ED">
      <w:headerReference w:type="default" r:id="rId8"/>
      <w:pgSz w:w="12240" w:h="15840"/>
      <w:pgMar w:top="360" w:right="1800" w:bottom="9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B716E" w14:textId="77777777" w:rsidR="001310DE" w:rsidRDefault="001310DE" w:rsidP="00681DD3">
      <w:pPr>
        <w:spacing w:after="0" w:line="240" w:lineRule="auto"/>
      </w:pPr>
      <w:r>
        <w:separator/>
      </w:r>
    </w:p>
  </w:endnote>
  <w:endnote w:type="continuationSeparator" w:id="0">
    <w:p w14:paraId="20ABCF32" w14:textId="77777777" w:rsidR="001310DE" w:rsidRDefault="001310DE" w:rsidP="0068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9051" w14:textId="77777777" w:rsidR="001310DE" w:rsidRDefault="001310DE" w:rsidP="00681DD3">
      <w:pPr>
        <w:spacing w:after="0" w:line="240" w:lineRule="auto"/>
      </w:pPr>
      <w:r>
        <w:separator/>
      </w:r>
    </w:p>
  </w:footnote>
  <w:footnote w:type="continuationSeparator" w:id="0">
    <w:p w14:paraId="4F571A87" w14:textId="77777777" w:rsidR="001310DE" w:rsidRDefault="001310DE" w:rsidP="00681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61766" w14:textId="536BEDF9" w:rsidR="00681DD3" w:rsidRDefault="00681DD3">
    <w:pPr>
      <w:pStyle w:val="Header"/>
      <w:jc w:val="right"/>
    </w:pPr>
  </w:p>
  <w:p w14:paraId="2A4C6E03" w14:textId="77777777" w:rsidR="00681DD3" w:rsidRDefault="00681D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7247B"/>
    <w:multiLevelType w:val="hybridMultilevel"/>
    <w:tmpl w:val="FAF09578"/>
    <w:lvl w:ilvl="0" w:tplc="162C02F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" w15:restartNumberingAfterBreak="0">
    <w:nsid w:val="174E4510"/>
    <w:multiLevelType w:val="hybridMultilevel"/>
    <w:tmpl w:val="0B9CD1D4"/>
    <w:lvl w:ilvl="0" w:tplc="0409001B">
      <w:start w:val="1"/>
      <w:numFmt w:val="lowerRoman"/>
      <w:lvlText w:val="%1."/>
      <w:lvlJc w:val="righ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0CD0E75"/>
    <w:multiLevelType w:val="hybridMultilevel"/>
    <w:tmpl w:val="B5A8A1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086DED"/>
    <w:multiLevelType w:val="hybridMultilevel"/>
    <w:tmpl w:val="E1B0B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E542B"/>
    <w:multiLevelType w:val="hybridMultilevel"/>
    <w:tmpl w:val="9AAA10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67F29FC"/>
    <w:multiLevelType w:val="hybridMultilevel"/>
    <w:tmpl w:val="AE64A6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509926">
    <w:abstractNumId w:val="3"/>
  </w:num>
  <w:num w:numId="2" w16cid:durableId="1113522522">
    <w:abstractNumId w:val="2"/>
  </w:num>
  <w:num w:numId="3" w16cid:durableId="232742326">
    <w:abstractNumId w:val="4"/>
  </w:num>
  <w:num w:numId="4" w16cid:durableId="171263591">
    <w:abstractNumId w:val="5"/>
  </w:num>
  <w:num w:numId="5" w16cid:durableId="595292150">
    <w:abstractNumId w:val="0"/>
  </w:num>
  <w:num w:numId="6" w16cid:durableId="881405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54"/>
    <w:rsid w:val="00071A51"/>
    <w:rsid w:val="00105C76"/>
    <w:rsid w:val="00126097"/>
    <w:rsid w:val="001310DE"/>
    <w:rsid w:val="0015297D"/>
    <w:rsid w:val="0015391A"/>
    <w:rsid w:val="00532E47"/>
    <w:rsid w:val="00570E17"/>
    <w:rsid w:val="00660DA6"/>
    <w:rsid w:val="00681DD3"/>
    <w:rsid w:val="006E3F3B"/>
    <w:rsid w:val="007F67DE"/>
    <w:rsid w:val="00800721"/>
    <w:rsid w:val="00804854"/>
    <w:rsid w:val="00860333"/>
    <w:rsid w:val="0086295B"/>
    <w:rsid w:val="008F3BF1"/>
    <w:rsid w:val="00925F61"/>
    <w:rsid w:val="009311ED"/>
    <w:rsid w:val="009C4725"/>
    <w:rsid w:val="009C658E"/>
    <w:rsid w:val="00A11B10"/>
    <w:rsid w:val="00A233D5"/>
    <w:rsid w:val="00B54A37"/>
    <w:rsid w:val="00BD3F24"/>
    <w:rsid w:val="00BF30A3"/>
    <w:rsid w:val="00C32B45"/>
    <w:rsid w:val="00EA0356"/>
    <w:rsid w:val="00F8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DF6E"/>
  <w15:chartTrackingRefBased/>
  <w15:docId w15:val="{13D8774D-FB33-45E1-BC5A-627205D85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1D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DD3"/>
  </w:style>
  <w:style w:type="paragraph" w:styleId="Footer">
    <w:name w:val="footer"/>
    <w:basedOn w:val="Normal"/>
    <w:link w:val="FooterChar"/>
    <w:uiPriority w:val="99"/>
    <w:unhideWhenUsed/>
    <w:rsid w:val="00681D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DD3"/>
  </w:style>
  <w:style w:type="paragraph" w:styleId="BalloonText">
    <w:name w:val="Balloon Text"/>
    <w:basedOn w:val="Normal"/>
    <w:link w:val="BalloonTextChar"/>
    <w:uiPriority w:val="99"/>
    <w:semiHidden/>
    <w:unhideWhenUsed/>
    <w:rsid w:val="00126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09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39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91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25F61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9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e-metanasteftiki-viografia@schools.ac.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Eleni Simeou</cp:lastModifiedBy>
  <cp:revision>2</cp:revision>
  <cp:lastPrinted>2023-09-11T11:20:00Z</cp:lastPrinted>
  <dcterms:created xsi:type="dcterms:W3CDTF">2024-09-09T04:11:00Z</dcterms:created>
  <dcterms:modified xsi:type="dcterms:W3CDTF">2024-09-09T04:11:00Z</dcterms:modified>
</cp:coreProperties>
</file>