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84AE0" w14:textId="77777777" w:rsidR="008279F3" w:rsidRDefault="002B774C">
      <w:pPr>
        <w:pStyle w:val="P68B1DB1-Normal1"/>
        <w:jc w:val="center"/>
      </w:pPr>
      <w:r>
        <w:t>ADULT EDUCATION CENTRES – GENERAL INFORMATION</w:t>
      </w:r>
    </w:p>
    <w:p w14:paraId="16B84AE1" w14:textId="77777777" w:rsidR="008279F3" w:rsidRDefault="002B774C">
      <w:pPr>
        <w:pStyle w:val="P68B1DB1-Normal2"/>
        <w:jc w:val="center"/>
      </w:pPr>
      <w:r>
        <w:t>OBJECTIVE</w:t>
      </w:r>
    </w:p>
    <w:p w14:paraId="16B84AE2" w14:textId="77777777" w:rsidR="008279F3" w:rsidRDefault="002B774C">
      <w:pPr>
        <w:pStyle w:val="P68B1DB1-Normal3"/>
        <w:jc w:val="both"/>
      </w:pPr>
      <w:r>
        <w:t xml:space="preserve">The Adult Education Centres' programme is the most important programme of general adult education in Cyprus. It is implemented in the context of the objective of the </w:t>
      </w:r>
      <w:r w:rsidRPr="000833A4">
        <w:t>Ministry of Education, Sport and Youth</w:t>
      </w:r>
      <w:r>
        <w:t xml:space="preserve"> to promote Lifelong Learning.</w:t>
      </w:r>
    </w:p>
    <w:p w14:paraId="16B84AE3" w14:textId="77777777" w:rsidR="008279F3" w:rsidRDefault="002B774C">
      <w:pPr>
        <w:pStyle w:val="P68B1DB1-Normal3"/>
        <w:jc w:val="both"/>
      </w:pPr>
      <w:r>
        <w:t xml:space="preserve">They operate under the responsibility of the Department of Primary Education of the </w:t>
      </w:r>
      <w:r w:rsidRPr="000833A4">
        <w:t>Ministry of Education, Sport and Youth</w:t>
      </w:r>
      <w:r>
        <w:t>.</w:t>
      </w:r>
    </w:p>
    <w:p w14:paraId="16B84AE4" w14:textId="77777777" w:rsidR="008279F3" w:rsidRDefault="002B774C">
      <w:pPr>
        <w:pStyle w:val="P68B1DB1-ListParagraph4"/>
        <w:numPr>
          <w:ilvl w:val="0"/>
          <w:numId w:val="2"/>
        </w:numPr>
        <w:ind w:left="284" w:hanging="284"/>
        <w:jc w:val="both"/>
      </w:pPr>
      <w:r>
        <w:t>They aim to improve the knowledge, skills and competences of each person on a personal, social and professional level and to contribute to the social, economic and cultural progress of citizens and society as a whole.</w:t>
      </w:r>
    </w:p>
    <w:p w14:paraId="16B84AE5" w14:textId="77777777" w:rsidR="008279F3" w:rsidRDefault="002B774C">
      <w:pPr>
        <w:pStyle w:val="P68B1DB1-Normal2"/>
        <w:spacing w:after="0"/>
        <w:jc w:val="both"/>
      </w:pPr>
      <w:r>
        <w:t>USEFUL INFORMATION</w:t>
      </w:r>
    </w:p>
    <w:p w14:paraId="16B84AE6" w14:textId="77777777" w:rsidR="008279F3" w:rsidRDefault="008279F3">
      <w:pPr>
        <w:spacing w:after="0"/>
        <w:jc w:val="both"/>
        <w:rPr>
          <w:rFonts w:asciiTheme="minorBidi" w:hAnsiTheme="minorBidi"/>
          <w:b/>
        </w:rPr>
      </w:pPr>
    </w:p>
    <w:p w14:paraId="16B84AE7" w14:textId="77777777" w:rsidR="008279F3" w:rsidRDefault="002B774C">
      <w:pPr>
        <w:pStyle w:val="P68B1DB1-Normal5"/>
        <w:jc w:val="both"/>
      </w:pPr>
      <w:r>
        <w:t>They operate both in urban and rural areas, during morning, afternoon and night hours, at buildings of primary schools, lower secondary schools, upper secondary schools, technical schools or other suitable places.</w:t>
      </w:r>
    </w:p>
    <w:p w14:paraId="16B84AE8" w14:textId="77777777" w:rsidR="008279F3" w:rsidRDefault="002B774C">
      <w:pPr>
        <w:pStyle w:val="P68B1DB1-ListParagraph4"/>
        <w:numPr>
          <w:ilvl w:val="0"/>
          <w:numId w:val="2"/>
        </w:numPr>
        <w:ind w:left="284" w:hanging="284"/>
        <w:jc w:val="both"/>
      </w:pPr>
      <w:r>
        <w:t>They are aimed at people aged 15 and over.</w:t>
      </w:r>
    </w:p>
    <w:p w14:paraId="16B84AE9" w14:textId="77777777" w:rsidR="008279F3" w:rsidRDefault="002B774C">
      <w:pPr>
        <w:pStyle w:val="P68B1DB1-ListParagraph4"/>
        <w:numPr>
          <w:ilvl w:val="0"/>
          <w:numId w:val="2"/>
        </w:numPr>
        <w:ind w:left="284" w:hanging="284"/>
        <w:jc w:val="both"/>
      </w:pPr>
      <w:r>
        <w:t xml:space="preserve">The courses are offered in 25 meetings a year, once a week, lasting 90 minutes. </w:t>
      </w:r>
    </w:p>
    <w:p w14:paraId="16B84AEA" w14:textId="77777777" w:rsidR="008279F3" w:rsidRDefault="002B774C">
      <w:pPr>
        <w:pStyle w:val="P68B1DB1-ListParagraph4"/>
        <w:numPr>
          <w:ilvl w:val="0"/>
          <w:numId w:val="2"/>
        </w:numPr>
        <w:ind w:left="284" w:hanging="284"/>
        <w:jc w:val="both"/>
      </w:pPr>
      <w:r>
        <w:t xml:space="preserve">Fees: </w:t>
      </w:r>
    </w:p>
    <w:p w14:paraId="16B84AEB" w14:textId="77777777" w:rsidR="008279F3" w:rsidRDefault="002B774C">
      <w:pPr>
        <w:pStyle w:val="P68B1DB1-ListParagraph4"/>
        <w:numPr>
          <w:ilvl w:val="1"/>
          <w:numId w:val="2"/>
        </w:numPr>
        <w:jc w:val="both"/>
      </w:pPr>
      <w:r>
        <w:t xml:space="preserve">Rural/Urban Areas: €55 </w:t>
      </w:r>
    </w:p>
    <w:p w14:paraId="16B84AEC" w14:textId="77777777" w:rsidR="008279F3" w:rsidRDefault="002B774C">
      <w:pPr>
        <w:pStyle w:val="P68B1DB1-ListParagraph4"/>
        <w:numPr>
          <w:ilvl w:val="1"/>
          <w:numId w:val="2"/>
        </w:numPr>
        <w:jc w:val="both"/>
      </w:pPr>
      <w:r>
        <w:t>Communities of less than 500 inhabitants: €27.50</w:t>
      </w:r>
    </w:p>
    <w:p w14:paraId="16B84AED" w14:textId="77777777" w:rsidR="008279F3" w:rsidRDefault="002B774C">
      <w:pPr>
        <w:pStyle w:val="P68B1DB1-ListParagraph4"/>
        <w:numPr>
          <w:ilvl w:val="1"/>
          <w:numId w:val="2"/>
        </w:numPr>
        <w:jc w:val="both"/>
      </w:pPr>
      <w:r>
        <w:t>People aged 65 and over: 50% of tuition fees</w:t>
      </w:r>
    </w:p>
    <w:p w14:paraId="16B84AEE" w14:textId="77777777" w:rsidR="008279F3" w:rsidRDefault="002B774C">
      <w:pPr>
        <w:pStyle w:val="P68B1DB1-ListParagraph4"/>
        <w:numPr>
          <w:ilvl w:val="1"/>
          <w:numId w:val="2"/>
        </w:numPr>
        <w:jc w:val="both"/>
      </w:pPr>
      <w:r>
        <w:t xml:space="preserve">Free for people with a disability over 75% </w:t>
      </w:r>
    </w:p>
    <w:p w14:paraId="16B84AEF" w14:textId="77777777" w:rsidR="008279F3" w:rsidRDefault="008279F3">
      <w:pPr>
        <w:pStyle w:val="ListParagraph"/>
        <w:numPr>
          <w:ilvl w:val="1"/>
          <w:numId w:val="2"/>
        </w:numPr>
        <w:jc w:val="both"/>
        <w:rPr>
          <w:rFonts w:asciiTheme="minorBidi" w:hAnsiTheme="minorBidi"/>
        </w:rPr>
      </w:pPr>
    </w:p>
    <w:p w14:paraId="16B84AF0" w14:textId="77777777" w:rsidR="008279F3" w:rsidRDefault="002B774C">
      <w:pPr>
        <w:pStyle w:val="P68B1DB1-ListParagraph4"/>
        <w:numPr>
          <w:ilvl w:val="0"/>
          <w:numId w:val="2"/>
        </w:numPr>
        <w:ind w:left="284" w:hanging="284"/>
        <w:jc w:val="both"/>
      </w:pPr>
      <w:r>
        <w:t>A "Certificate of Attendance" is given to those who attend 80% of the teaching sessions.</w:t>
      </w:r>
    </w:p>
    <w:p w14:paraId="16B84AF1" w14:textId="77777777" w:rsidR="008279F3" w:rsidRDefault="002B774C">
      <w:pPr>
        <w:pStyle w:val="P68B1DB1-ListParagraph4"/>
        <w:numPr>
          <w:ilvl w:val="0"/>
          <w:numId w:val="2"/>
        </w:numPr>
        <w:ind w:left="284" w:hanging="284"/>
        <w:jc w:val="both"/>
      </w:pPr>
      <w:r>
        <w:t>While present at the Adult Education Centres, participants are the sole responsible for their personal safety.</w:t>
      </w:r>
    </w:p>
    <w:p w14:paraId="16B84AF2" w14:textId="77777777" w:rsidR="008279F3" w:rsidRDefault="002B774C">
      <w:pPr>
        <w:pStyle w:val="P68B1DB1-Normal3"/>
        <w:contextualSpacing/>
        <w:jc w:val="both"/>
      </w:pPr>
      <w:r>
        <w:t>REGISTRATION</w:t>
      </w:r>
    </w:p>
    <w:p w14:paraId="16B84AF3" w14:textId="77777777" w:rsidR="008279F3" w:rsidRDefault="002B774C">
      <w:pPr>
        <w:pStyle w:val="P68B1DB1-Normal5"/>
        <w:contextualSpacing/>
        <w:jc w:val="both"/>
      </w:pPr>
      <w:r>
        <w:t>Registration takes place in the course of September, during a specified period that is announced on the internet.</w:t>
      </w:r>
    </w:p>
    <w:p w14:paraId="16B84AF4" w14:textId="77777777" w:rsidR="008279F3" w:rsidRDefault="002B774C">
      <w:pPr>
        <w:pStyle w:val="P68B1DB1-ListParagraph4"/>
        <w:numPr>
          <w:ilvl w:val="0"/>
          <w:numId w:val="2"/>
        </w:numPr>
        <w:ind w:left="284" w:hanging="284"/>
        <w:jc w:val="both"/>
      </w:pPr>
      <w:r>
        <w:t xml:space="preserve">Registration Forms may ONLY be submitted electronically at: </w:t>
      </w:r>
    </w:p>
    <w:p w14:paraId="16B84AF5" w14:textId="77777777" w:rsidR="008279F3" w:rsidRDefault="002B774C">
      <w:pPr>
        <w:pStyle w:val="P68B1DB1-ListParagraph6"/>
        <w:ind w:left="284" w:hanging="14"/>
        <w:jc w:val="both"/>
      </w:pPr>
      <w:r>
        <w:t>www.moec.gov.cy/epimorfotika</w:t>
      </w:r>
    </w:p>
    <w:p w14:paraId="16B84AF6" w14:textId="77777777" w:rsidR="008279F3" w:rsidRDefault="002B774C">
      <w:pPr>
        <w:pStyle w:val="P68B1DB1-ListParagraph4"/>
        <w:numPr>
          <w:ilvl w:val="0"/>
          <w:numId w:val="4"/>
        </w:numPr>
        <w:ind w:left="284" w:hanging="284"/>
        <w:jc w:val="both"/>
      </w:pPr>
      <w:r>
        <w:t>A separate Registration Form is required for each course.</w:t>
      </w:r>
    </w:p>
    <w:p w14:paraId="16B84AF7" w14:textId="77777777" w:rsidR="008279F3" w:rsidRDefault="002B774C">
      <w:pPr>
        <w:pStyle w:val="P68B1DB1-ListParagraph4"/>
        <w:numPr>
          <w:ilvl w:val="0"/>
          <w:numId w:val="4"/>
        </w:numPr>
        <w:ind w:left="284" w:hanging="284"/>
        <w:jc w:val="both"/>
      </w:pPr>
      <w:r>
        <w:t>To form a class, 11 registrations are needed in urban areas and 9 in rural areas.</w:t>
      </w:r>
    </w:p>
    <w:p w14:paraId="16B84AF8" w14:textId="77777777" w:rsidR="008279F3" w:rsidRDefault="002B774C">
      <w:pPr>
        <w:pStyle w:val="P68B1DB1-Normal3"/>
        <w:contextualSpacing/>
        <w:jc w:val="both"/>
      </w:pPr>
      <w:r>
        <w:t>PAYMENTS</w:t>
      </w:r>
    </w:p>
    <w:p w14:paraId="16B84AF9" w14:textId="77777777" w:rsidR="008279F3" w:rsidRDefault="002B774C">
      <w:pPr>
        <w:pStyle w:val="P68B1DB1-ListParagraph4"/>
        <w:numPr>
          <w:ilvl w:val="0"/>
          <w:numId w:val="4"/>
        </w:numPr>
        <w:ind w:left="284" w:hanging="284"/>
        <w:jc w:val="both"/>
      </w:pPr>
      <w:r>
        <w:t>Tuition fees may ONLY be paid electronically through the JCCSMART website, or through banking institutions.</w:t>
      </w:r>
    </w:p>
    <w:p w14:paraId="16B84AFA" w14:textId="77777777" w:rsidR="008279F3" w:rsidRDefault="002B774C">
      <w:pPr>
        <w:pStyle w:val="P68B1DB1-ListParagraph4"/>
        <w:numPr>
          <w:ilvl w:val="0"/>
          <w:numId w:val="4"/>
        </w:numPr>
        <w:ind w:left="284" w:hanging="284"/>
        <w:jc w:val="both"/>
      </w:pPr>
      <w:r>
        <w:t xml:space="preserve">A registration code is required for the payment of tuition fees. </w:t>
      </w:r>
    </w:p>
    <w:p w14:paraId="16B84AFB" w14:textId="77777777" w:rsidR="008279F3" w:rsidRDefault="002B774C">
      <w:pPr>
        <w:pStyle w:val="P68B1DB1-ListParagraph4"/>
        <w:numPr>
          <w:ilvl w:val="0"/>
          <w:numId w:val="4"/>
        </w:numPr>
        <w:ind w:left="284" w:hanging="284"/>
        <w:jc w:val="both"/>
      </w:pPr>
      <w:r>
        <w:t>Further details on how to pay the tuition fees are provided by the trainers at the beginning of the courses.</w:t>
      </w:r>
    </w:p>
    <w:p w14:paraId="16B84AFC" w14:textId="77777777" w:rsidR="008279F3" w:rsidRDefault="008279F3">
      <w:pPr>
        <w:contextualSpacing/>
        <w:jc w:val="both"/>
        <w:rPr>
          <w:rFonts w:asciiTheme="minorBidi" w:hAnsiTheme="minorBidi"/>
          <w:b/>
        </w:rPr>
      </w:pPr>
    </w:p>
    <w:p w14:paraId="16B84AFD" w14:textId="77777777" w:rsidR="008279F3" w:rsidRDefault="008279F3">
      <w:pPr>
        <w:contextualSpacing/>
        <w:jc w:val="both"/>
        <w:rPr>
          <w:rFonts w:asciiTheme="minorBidi" w:hAnsiTheme="minorBidi"/>
          <w:b/>
        </w:rPr>
      </w:pPr>
    </w:p>
    <w:p w14:paraId="16B84AFE" w14:textId="77777777" w:rsidR="008279F3" w:rsidRDefault="008279F3">
      <w:pPr>
        <w:contextualSpacing/>
        <w:jc w:val="both"/>
        <w:rPr>
          <w:rFonts w:asciiTheme="minorBidi" w:hAnsiTheme="minorBidi"/>
          <w:b/>
        </w:rPr>
      </w:pPr>
    </w:p>
    <w:p w14:paraId="16B84AFF" w14:textId="77777777" w:rsidR="008279F3" w:rsidRDefault="008279F3">
      <w:pPr>
        <w:contextualSpacing/>
        <w:jc w:val="both"/>
        <w:rPr>
          <w:rFonts w:asciiTheme="minorBidi" w:hAnsiTheme="minorBidi"/>
          <w:b/>
        </w:rPr>
      </w:pPr>
    </w:p>
    <w:p w14:paraId="16B84B00" w14:textId="77777777" w:rsidR="008279F3" w:rsidRDefault="008279F3">
      <w:pPr>
        <w:contextualSpacing/>
        <w:jc w:val="both"/>
        <w:rPr>
          <w:rFonts w:asciiTheme="minorBidi" w:hAnsiTheme="minorBidi"/>
          <w:b/>
        </w:rPr>
      </w:pPr>
    </w:p>
    <w:p w14:paraId="16B84B01" w14:textId="77777777" w:rsidR="008279F3" w:rsidRDefault="008279F3">
      <w:pPr>
        <w:contextualSpacing/>
        <w:jc w:val="both"/>
        <w:rPr>
          <w:rFonts w:asciiTheme="minorBidi" w:hAnsiTheme="minorBidi"/>
          <w:b/>
        </w:rPr>
      </w:pPr>
    </w:p>
    <w:p w14:paraId="16B84B02" w14:textId="77777777" w:rsidR="008279F3" w:rsidRDefault="002B774C">
      <w:pPr>
        <w:pStyle w:val="P68B1DB1-Normal3"/>
        <w:contextualSpacing/>
        <w:jc w:val="both"/>
      </w:pPr>
      <w:r>
        <w:t>INFORMATION</w:t>
      </w:r>
    </w:p>
    <w:p w14:paraId="16B84B03" w14:textId="77777777" w:rsidR="008279F3" w:rsidRDefault="002B774C">
      <w:pPr>
        <w:jc w:val="both"/>
        <w:rPr>
          <w:rFonts w:asciiTheme="minorBidi" w:hAnsiTheme="minorBidi"/>
        </w:rPr>
      </w:pPr>
      <w:r>
        <w:rPr>
          <w:rFonts w:asciiTheme="minorBidi" w:hAnsiTheme="minorBidi"/>
        </w:rPr>
        <w:t xml:space="preserve">For more information you may visit the Adult Education Centres' </w:t>
      </w:r>
      <w:hyperlink r:id="rId5" w:history="1"/>
      <w:r>
        <w:rPr>
          <w:rFonts w:asciiTheme="minorBidi" w:hAnsiTheme="minorBidi"/>
        </w:rPr>
        <w:t>website at http://www.moec.gov.cy/epimorfotika</w:t>
      </w:r>
      <w:r>
        <w:rPr>
          <w:rFonts w:asciiTheme="minorBidi" w:hAnsiTheme="minorBidi"/>
          <w:b/>
          <w:color w:val="000000" w:themeColor="text1"/>
        </w:rPr>
        <w:t xml:space="preserve"> </w:t>
      </w:r>
      <w:r>
        <w:rPr>
          <w:rFonts w:asciiTheme="minorBidi" w:hAnsiTheme="minorBidi"/>
        </w:rPr>
        <w:t>or contact the District Offices:</w:t>
      </w:r>
    </w:p>
    <w:tbl>
      <w:tblPr>
        <w:tblStyle w:val="TableGrid"/>
        <w:tblW w:w="9615" w:type="dxa"/>
        <w:jc w:val="center"/>
        <w:tblLayout w:type="fixed"/>
        <w:tblLook w:val="04A0" w:firstRow="1" w:lastRow="0" w:firstColumn="1" w:lastColumn="0" w:noHBand="0" w:noVBand="1"/>
      </w:tblPr>
      <w:tblGrid>
        <w:gridCol w:w="2269"/>
        <w:gridCol w:w="1984"/>
        <w:gridCol w:w="1701"/>
        <w:gridCol w:w="3661"/>
      </w:tblGrid>
      <w:tr w:rsidR="008279F3" w14:paraId="16B84B08" w14:textId="77777777">
        <w:trPr>
          <w:jc w:val="center"/>
        </w:trPr>
        <w:tc>
          <w:tcPr>
            <w:tcW w:w="2269" w:type="dxa"/>
          </w:tcPr>
          <w:p w14:paraId="16B84B04" w14:textId="77777777" w:rsidR="008279F3" w:rsidRDefault="002B774C">
            <w:pPr>
              <w:pStyle w:val="P68B1DB1-Normal5"/>
              <w:jc w:val="both"/>
              <w:rPr>
                <w:b/>
              </w:rPr>
            </w:pPr>
            <w:r>
              <w:rPr>
                <w:b/>
              </w:rPr>
              <w:t>District</w:t>
            </w:r>
          </w:p>
        </w:tc>
        <w:tc>
          <w:tcPr>
            <w:tcW w:w="1984" w:type="dxa"/>
          </w:tcPr>
          <w:p w14:paraId="16B84B05" w14:textId="77777777" w:rsidR="008279F3" w:rsidRDefault="002B774C">
            <w:pPr>
              <w:pStyle w:val="P68B1DB1-Normal3"/>
              <w:jc w:val="both"/>
            </w:pPr>
            <w:r>
              <w:t>Telephone numbers:</w:t>
            </w:r>
          </w:p>
        </w:tc>
        <w:tc>
          <w:tcPr>
            <w:tcW w:w="1701" w:type="dxa"/>
          </w:tcPr>
          <w:p w14:paraId="16B84B06" w14:textId="77777777" w:rsidR="008279F3" w:rsidRDefault="002B774C">
            <w:pPr>
              <w:pStyle w:val="P68B1DB1-Normal3"/>
              <w:jc w:val="both"/>
            </w:pPr>
            <w:r>
              <w:t>Fax:</w:t>
            </w:r>
          </w:p>
        </w:tc>
        <w:tc>
          <w:tcPr>
            <w:tcW w:w="3661" w:type="dxa"/>
          </w:tcPr>
          <w:p w14:paraId="16B84B07" w14:textId="77777777" w:rsidR="008279F3" w:rsidRDefault="002B774C">
            <w:pPr>
              <w:pStyle w:val="P68B1DB1-Normal3"/>
              <w:jc w:val="both"/>
            </w:pPr>
            <w:r>
              <w:t>Email: -</w:t>
            </w:r>
          </w:p>
        </w:tc>
      </w:tr>
      <w:tr w:rsidR="008279F3" w14:paraId="16B84B0D" w14:textId="77777777">
        <w:trPr>
          <w:jc w:val="center"/>
        </w:trPr>
        <w:tc>
          <w:tcPr>
            <w:tcW w:w="2269" w:type="dxa"/>
          </w:tcPr>
          <w:p w14:paraId="16B84B09" w14:textId="77777777" w:rsidR="008279F3" w:rsidRDefault="002B774C">
            <w:pPr>
              <w:pStyle w:val="P68B1DB1-Normal5"/>
              <w:jc w:val="both"/>
            </w:pPr>
            <w:r>
              <w:t>Nicosia</w:t>
            </w:r>
          </w:p>
        </w:tc>
        <w:tc>
          <w:tcPr>
            <w:tcW w:w="1984" w:type="dxa"/>
          </w:tcPr>
          <w:p w14:paraId="16B84B0A" w14:textId="77777777" w:rsidR="008279F3" w:rsidRDefault="002B774C">
            <w:pPr>
              <w:pStyle w:val="P68B1DB1-Normal5"/>
              <w:jc w:val="both"/>
            </w:pPr>
            <w:r>
              <w:t>22800803/ 878/ 877</w:t>
            </w:r>
          </w:p>
        </w:tc>
        <w:tc>
          <w:tcPr>
            <w:tcW w:w="1701" w:type="dxa"/>
          </w:tcPr>
          <w:p w14:paraId="16B84B0B" w14:textId="77777777" w:rsidR="008279F3" w:rsidRDefault="002B774C">
            <w:pPr>
              <w:pStyle w:val="P68B1DB1-Normal5"/>
              <w:jc w:val="both"/>
            </w:pPr>
            <w:r>
              <w:t>22800802</w:t>
            </w:r>
          </w:p>
        </w:tc>
        <w:tc>
          <w:tcPr>
            <w:tcW w:w="3661" w:type="dxa"/>
          </w:tcPr>
          <w:p w14:paraId="16B84B0C" w14:textId="77777777" w:rsidR="008279F3" w:rsidRDefault="002B774C">
            <w:pPr>
              <w:pStyle w:val="P68B1DB1-Normal5"/>
              <w:jc w:val="both"/>
            </w:pPr>
            <w:r>
              <w:t>epimorfotika@schools.ac.cy</w:t>
            </w:r>
          </w:p>
        </w:tc>
      </w:tr>
      <w:tr w:rsidR="008279F3" w14:paraId="16B84B12" w14:textId="77777777">
        <w:trPr>
          <w:jc w:val="center"/>
        </w:trPr>
        <w:tc>
          <w:tcPr>
            <w:tcW w:w="2269" w:type="dxa"/>
          </w:tcPr>
          <w:p w14:paraId="16B84B0E" w14:textId="77777777" w:rsidR="008279F3" w:rsidRDefault="002B774C">
            <w:pPr>
              <w:pStyle w:val="P68B1DB1-Normal5"/>
              <w:jc w:val="both"/>
            </w:pPr>
            <w:r>
              <w:t>Limassol</w:t>
            </w:r>
          </w:p>
        </w:tc>
        <w:tc>
          <w:tcPr>
            <w:tcW w:w="1984" w:type="dxa"/>
          </w:tcPr>
          <w:p w14:paraId="16B84B0F" w14:textId="77777777" w:rsidR="008279F3" w:rsidRDefault="002B774C">
            <w:pPr>
              <w:pStyle w:val="P68B1DB1-Normal5"/>
              <w:jc w:val="both"/>
            </w:pPr>
            <w:r>
              <w:t>25877524</w:t>
            </w:r>
          </w:p>
        </w:tc>
        <w:tc>
          <w:tcPr>
            <w:tcW w:w="1701" w:type="dxa"/>
          </w:tcPr>
          <w:p w14:paraId="16B84B10" w14:textId="77777777" w:rsidR="008279F3" w:rsidRDefault="002B774C">
            <w:pPr>
              <w:pStyle w:val="P68B1DB1-Normal5"/>
              <w:jc w:val="both"/>
            </w:pPr>
            <w:r>
              <w:t>25306555</w:t>
            </w:r>
          </w:p>
        </w:tc>
        <w:tc>
          <w:tcPr>
            <w:tcW w:w="3661" w:type="dxa"/>
          </w:tcPr>
          <w:p w14:paraId="16B84B11" w14:textId="77777777" w:rsidR="008279F3" w:rsidRDefault="002B774C">
            <w:pPr>
              <w:pStyle w:val="P68B1DB1-Normal5"/>
              <w:jc w:val="both"/>
            </w:pPr>
            <w:r>
              <w:t>epimorfotika.lem@schools.ac.cy</w:t>
            </w:r>
          </w:p>
        </w:tc>
      </w:tr>
      <w:tr w:rsidR="008279F3" w14:paraId="16B84B17" w14:textId="77777777">
        <w:trPr>
          <w:jc w:val="center"/>
        </w:trPr>
        <w:tc>
          <w:tcPr>
            <w:tcW w:w="2269" w:type="dxa"/>
          </w:tcPr>
          <w:p w14:paraId="16B84B13" w14:textId="77777777" w:rsidR="008279F3" w:rsidRDefault="002B774C">
            <w:pPr>
              <w:pStyle w:val="P68B1DB1-Normal5"/>
              <w:jc w:val="both"/>
            </w:pPr>
            <w:r>
              <w:t>Larnaca - Famagusta</w:t>
            </w:r>
          </w:p>
        </w:tc>
        <w:tc>
          <w:tcPr>
            <w:tcW w:w="1984" w:type="dxa"/>
          </w:tcPr>
          <w:p w14:paraId="16B84B14" w14:textId="77777777" w:rsidR="008279F3" w:rsidRDefault="002B774C">
            <w:pPr>
              <w:pStyle w:val="P68B1DB1-Normal5"/>
              <w:jc w:val="both"/>
            </w:pPr>
            <w:r>
              <w:t>24813264</w:t>
            </w:r>
          </w:p>
        </w:tc>
        <w:tc>
          <w:tcPr>
            <w:tcW w:w="1701" w:type="dxa"/>
          </w:tcPr>
          <w:p w14:paraId="16B84B15" w14:textId="77777777" w:rsidR="008279F3" w:rsidRDefault="002B774C">
            <w:pPr>
              <w:pStyle w:val="P68B1DB1-Normal5"/>
              <w:jc w:val="both"/>
            </w:pPr>
            <w:r>
              <w:t>24304585</w:t>
            </w:r>
          </w:p>
        </w:tc>
        <w:tc>
          <w:tcPr>
            <w:tcW w:w="3661" w:type="dxa"/>
          </w:tcPr>
          <w:p w14:paraId="16B84B16" w14:textId="77777777" w:rsidR="008279F3" w:rsidRDefault="002B774C">
            <w:pPr>
              <w:pStyle w:val="P68B1DB1-Normal5"/>
              <w:jc w:val="both"/>
            </w:pPr>
            <w:r>
              <w:t xml:space="preserve">epimorfotika.lar@schools.ac.cy </w:t>
            </w:r>
          </w:p>
        </w:tc>
      </w:tr>
      <w:tr w:rsidR="008279F3" w14:paraId="16B84B1C" w14:textId="77777777">
        <w:trPr>
          <w:jc w:val="center"/>
        </w:trPr>
        <w:tc>
          <w:tcPr>
            <w:tcW w:w="2269" w:type="dxa"/>
          </w:tcPr>
          <w:p w14:paraId="16B84B18" w14:textId="77777777" w:rsidR="008279F3" w:rsidRDefault="002B774C">
            <w:pPr>
              <w:pStyle w:val="P68B1DB1-Normal5"/>
              <w:jc w:val="both"/>
            </w:pPr>
            <w:r>
              <w:t>Pafos</w:t>
            </w:r>
          </w:p>
        </w:tc>
        <w:tc>
          <w:tcPr>
            <w:tcW w:w="1984" w:type="dxa"/>
          </w:tcPr>
          <w:p w14:paraId="16B84B19" w14:textId="77777777" w:rsidR="008279F3" w:rsidRDefault="002B774C">
            <w:pPr>
              <w:pStyle w:val="P68B1DB1-Normal5"/>
              <w:jc w:val="both"/>
            </w:pPr>
            <w:r>
              <w:t>26804521/522</w:t>
            </w:r>
          </w:p>
        </w:tc>
        <w:tc>
          <w:tcPr>
            <w:tcW w:w="1701" w:type="dxa"/>
          </w:tcPr>
          <w:p w14:paraId="16B84B1A" w14:textId="77777777" w:rsidR="008279F3" w:rsidRDefault="002B774C">
            <w:pPr>
              <w:pStyle w:val="P68B1DB1-Normal5"/>
              <w:jc w:val="both"/>
            </w:pPr>
            <w:r>
              <w:t>26912163</w:t>
            </w:r>
          </w:p>
        </w:tc>
        <w:tc>
          <w:tcPr>
            <w:tcW w:w="3661" w:type="dxa"/>
          </w:tcPr>
          <w:p w14:paraId="16B84B1B" w14:textId="77777777" w:rsidR="008279F3" w:rsidRDefault="002B774C">
            <w:pPr>
              <w:pStyle w:val="P68B1DB1-Normal5"/>
              <w:jc w:val="both"/>
            </w:pPr>
            <w:r>
              <w:t>epimorfotika.paf@schools.ac.cy</w:t>
            </w:r>
          </w:p>
        </w:tc>
      </w:tr>
    </w:tbl>
    <w:p w14:paraId="16B84B1D" w14:textId="77777777" w:rsidR="008279F3" w:rsidRDefault="008279F3">
      <w:pPr>
        <w:jc w:val="both"/>
        <w:rPr>
          <w:rFonts w:asciiTheme="minorBidi" w:hAnsiTheme="minorBidi"/>
        </w:rPr>
      </w:pPr>
    </w:p>
    <w:sectPr w:rsidR="008279F3">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26966415">
    <w:abstractNumId w:val="4"/>
  </w:num>
  <w:num w:numId="2" w16cid:durableId="1433936472">
    <w:abstractNumId w:val="2"/>
  </w:num>
  <w:num w:numId="3" w16cid:durableId="1083143385">
    <w:abstractNumId w:val="0"/>
  </w:num>
  <w:num w:numId="4" w16cid:durableId="203176178">
    <w:abstractNumId w:val="3"/>
  </w:num>
  <w:num w:numId="5" w16cid:durableId="1089042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EE4"/>
    <w:rsid w:val="000564A3"/>
    <w:rsid w:val="000833A4"/>
    <w:rsid w:val="002B774C"/>
    <w:rsid w:val="003B1758"/>
    <w:rsid w:val="00461EFD"/>
    <w:rsid w:val="00560A36"/>
    <w:rsid w:val="00622D7B"/>
    <w:rsid w:val="006910CF"/>
    <w:rsid w:val="00707E89"/>
    <w:rsid w:val="008279F3"/>
    <w:rsid w:val="008F4AFB"/>
    <w:rsid w:val="00B9438D"/>
    <w:rsid w:val="00BE1EE4"/>
    <w:rsid w:val="00C53957"/>
    <w:rsid w:val="00C615BE"/>
    <w:rsid w:val="00CD18FF"/>
    <w:rsid w:val="00E873E9"/>
    <w:rsid w:val="00F21459"/>
    <w:rsid w:val="00F21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4AE0"/>
  <w15:docId w15:val="{DBF1650C-C4B7-48D2-9C60-229F3CB0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uiPriority w:val="39"/>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 w:type="paragraph" w:customStyle="1" w:styleId="P68B1DB1-Normal1">
    <w:name w:val="P68B1DB1-Normal1"/>
    <w:basedOn w:val="Normal"/>
    <w:rPr>
      <w:rFonts w:asciiTheme="minorBidi" w:hAnsiTheme="minorBidi"/>
      <w:b/>
      <w:sz w:val="24"/>
      <w:u w:val="single"/>
    </w:rPr>
  </w:style>
  <w:style w:type="paragraph" w:customStyle="1" w:styleId="P68B1DB1-Normal2">
    <w:name w:val="P68B1DB1-Normal2"/>
    <w:basedOn w:val="Normal"/>
    <w:rPr>
      <w:rFonts w:asciiTheme="minorBidi" w:hAnsiTheme="minorBidi"/>
      <w:b/>
      <w:u w:val="single"/>
    </w:rPr>
  </w:style>
  <w:style w:type="paragraph" w:customStyle="1" w:styleId="P68B1DB1-Normal3">
    <w:name w:val="P68B1DB1-Normal3"/>
    <w:basedOn w:val="Normal"/>
    <w:rPr>
      <w:rFonts w:asciiTheme="minorBidi" w:hAnsiTheme="minorBidi"/>
      <w:b/>
    </w:rPr>
  </w:style>
  <w:style w:type="paragraph" w:customStyle="1" w:styleId="P68B1DB1-ListParagraph4">
    <w:name w:val="P68B1DB1-ListParagraph4"/>
    <w:basedOn w:val="ListParagraph"/>
    <w:rPr>
      <w:rFonts w:asciiTheme="minorBidi" w:hAnsiTheme="minorBidi"/>
    </w:rPr>
  </w:style>
  <w:style w:type="paragraph" w:customStyle="1" w:styleId="P68B1DB1-Normal5">
    <w:name w:val="P68B1DB1-Normal5"/>
    <w:basedOn w:val="Normal"/>
    <w:rPr>
      <w:rFonts w:asciiTheme="minorBidi" w:hAnsiTheme="minorBidi"/>
    </w:rPr>
  </w:style>
  <w:style w:type="paragraph" w:customStyle="1" w:styleId="P68B1DB1-ListParagraph6">
    <w:name w:val="P68B1DB1-ListParagraph6"/>
    <w:basedOn w:val="ListParagraph"/>
    <w:rPr>
      <w:rFonts w:asciiTheme="minorBidi" w:hAnsi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ec.gov.cy/epimorfoti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4</cp:revision>
  <cp:lastPrinted>2020-07-08T07:17:00Z</cp:lastPrinted>
  <dcterms:created xsi:type="dcterms:W3CDTF">2021-11-10T06:56:00Z</dcterms:created>
  <dcterms:modified xsi:type="dcterms:W3CDTF">2023-04-13T06:33:00Z</dcterms:modified>
</cp:coreProperties>
</file>