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C45C14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64055906" w14:textId="77777777" w:rsidR="00090CBD" w:rsidRDefault="00C45C14" w:rsidP="00C45C14">
            <w:pPr>
              <w:rPr>
                <w:b/>
                <w:lang w:val="el-GR"/>
              </w:rPr>
            </w:pPr>
            <w:r w:rsidRPr="00C45C14">
              <w:rPr>
                <w:b/>
                <w:lang w:val="el-GR"/>
              </w:rPr>
              <w:t>Κλάδος Εφαρμοσμένων Τεχνών</w:t>
            </w:r>
          </w:p>
          <w:p w14:paraId="308A130C" w14:textId="7854B088" w:rsidR="00C45C14" w:rsidRPr="000665FA" w:rsidRDefault="00C45C14" w:rsidP="00C45C14">
            <w:pPr>
              <w:rPr>
                <w:b/>
                <w:lang w:val="el-GR"/>
              </w:rPr>
            </w:pPr>
          </w:p>
        </w:tc>
      </w:tr>
      <w:tr w:rsidR="003106BB" w:rsidRPr="00E21E35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817C21" w:rsidRDefault="003106BB" w:rsidP="003106BB">
            <w:pPr>
              <w:rPr>
                <w:b/>
                <w:lang w:val="el-GR"/>
              </w:rPr>
            </w:pPr>
            <w:r w:rsidRPr="00817C21">
              <w:rPr>
                <w:b/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4D6183" w:rsidRDefault="003106BB" w:rsidP="003106BB">
            <w:pPr>
              <w:rPr>
                <w:lang w:val="el-GR"/>
              </w:rPr>
            </w:pPr>
            <w:r w:rsidRPr="004D6183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Pr="00817C21">
              <w:rPr>
                <w:b/>
                <w:lang w:val="el-GR"/>
              </w:rPr>
              <w:t>ΑΑΜ</w:t>
            </w:r>
          </w:p>
        </w:tc>
      </w:tr>
      <w:tr w:rsidR="00596D39" w:rsidRPr="00E21E35" w14:paraId="024F18DF" w14:textId="77777777" w:rsidTr="00854F20">
        <w:tc>
          <w:tcPr>
            <w:tcW w:w="8296" w:type="dxa"/>
            <w:gridSpan w:val="2"/>
          </w:tcPr>
          <w:p w14:paraId="04EB2F6D" w14:textId="75D22772" w:rsidR="00C97823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3C5B3A">
              <w:rPr>
                <w:b/>
                <w:bCs/>
                <w:lang w:val="el-GR"/>
              </w:rPr>
              <w:t xml:space="preserve"> (ΑΑΜ)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  <w:r w:rsidR="00E21E35" w:rsidRPr="00E21E35">
              <w:rPr>
                <w:b/>
                <w:bCs/>
                <w:lang w:val="el-GR"/>
              </w:rPr>
              <w:t xml:space="preserve">Εικαστικές Συνθέσεις (Ε) </w:t>
            </w:r>
            <w:r w:rsidR="00EA5F83">
              <w:rPr>
                <w:b/>
                <w:bCs/>
                <w:lang w:val="el-GR"/>
              </w:rPr>
              <w:t xml:space="preserve">- </w:t>
            </w:r>
            <w:r w:rsidR="00E21E35" w:rsidRPr="00E21E35">
              <w:rPr>
                <w:b/>
                <w:bCs/>
                <w:lang w:val="el-GR"/>
              </w:rPr>
              <w:t>ΤΕΙ Αθήνας</w:t>
            </w:r>
          </w:p>
          <w:p w14:paraId="4FCE28BB" w14:textId="77777777" w:rsidR="00E21E35" w:rsidRDefault="00E21E35" w:rsidP="000F1896">
            <w:pPr>
              <w:rPr>
                <w:b/>
                <w:bCs/>
                <w:lang w:val="el-GR"/>
              </w:rPr>
            </w:pPr>
          </w:p>
          <w:p w14:paraId="26B51204" w14:textId="0E3A96CF" w:rsidR="00F421DB" w:rsidRDefault="00E21E35" w:rsidP="000F1896">
            <w:pPr>
              <w:rPr>
                <w:b/>
                <w:bCs/>
                <w:lang w:val="el-GR"/>
              </w:rPr>
            </w:pPr>
            <w:hyperlink r:id="rId8" w:history="1">
              <w:r w:rsidRPr="008B7378">
                <w:rPr>
                  <w:rStyle w:val="Hyperlink"/>
                  <w:b/>
                  <w:bCs/>
                  <w:lang w:val="el-GR"/>
                </w:rPr>
                <w:t>https://ocp.teiath.gr/courses/DIAK_UNDER103/</w:t>
              </w:r>
            </w:hyperlink>
          </w:p>
          <w:p w14:paraId="08877121" w14:textId="5BF4FB39" w:rsidR="00466B8A" w:rsidRDefault="00466B8A" w:rsidP="00466B8A">
            <w:pPr>
              <w:rPr>
                <w:lang w:val="el-GR"/>
              </w:rPr>
            </w:pPr>
          </w:p>
          <w:p w14:paraId="2A4C8C5E" w14:textId="64FBF8C0" w:rsidR="00466B8A" w:rsidRPr="00466B8A" w:rsidRDefault="00C9136E" w:rsidP="00466B8A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Στο</w:t>
            </w:r>
            <w:r w:rsidR="00466B8A" w:rsidRPr="00466B8A">
              <w:rPr>
                <w:bCs/>
                <w:lang w:val="el-GR"/>
              </w:rPr>
              <w:t xml:space="preserve"> μάθημα </w:t>
            </w:r>
            <w:r>
              <w:rPr>
                <w:bCs/>
                <w:lang w:val="el-GR"/>
              </w:rPr>
              <w:t>‘</w:t>
            </w:r>
            <w:r w:rsidRPr="00C9136E">
              <w:rPr>
                <w:bCs/>
                <w:lang w:val="el-GR"/>
              </w:rPr>
              <w:t>Εικαστικές Συνθέσεις</w:t>
            </w:r>
            <w:r>
              <w:rPr>
                <w:bCs/>
                <w:lang w:val="el-GR"/>
              </w:rPr>
              <w:t>’</w:t>
            </w:r>
            <w:r w:rsidRPr="00C9136E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αναπτύσσονται</w:t>
            </w:r>
            <w:r w:rsidR="00466B8A" w:rsidRPr="00466B8A">
              <w:rPr>
                <w:bCs/>
                <w:lang w:val="el-GR"/>
              </w:rPr>
              <w:t xml:space="preserve"> θέματα όπως:</w:t>
            </w:r>
          </w:p>
          <w:p w14:paraId="2019A406" w14:textId="61EDE886" w:rsidR="00466B8A" w:rsidRPr="00FE2383" w:rsidRDefault="008563B0" w:rsidP="00FE2383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466B8A" w:rsidRPr="00FE2383">
              <w:rPr>
                <w:bCs/>
                <w:lang w:val="el-GR"/>
              </w:rPr>
              <w:t>ι σημαίνει ΔΙΑΦΑ</w:t>
            </w:r>
            <w:r>
              <w:rPr>
                <w:bCs/>
                <w:lang w:val="el-GR"/>
              </w:rPr>
              <w:t>ΝΕΙΑ – ΑΝΤΑΝΑΚΛΑΣΗ – ΣΚΙΑ και πώ</w:t>
            </w:r>
            <w:r w:rsidR="00466B8A" w:rsidRPr="00FE2383">
              <w:rPr>
                <w:bCs/>
                <w:lang w:val="el-GR"/>
              </w:rPr>
              <w:t>ς αυτά τα εργαλεία χρησιμοποιούνται στην τέχνη και την αρχιτεκτονική.</w:t>
            </w:r>
          </w:p>
          <w:p w14:paraId="12B64D81" w14:textId="2774A12A" w:rsidR="00466B8A" w:rsidRPr="00FE2383" w:rsidRDefault="008563B0" w:rsidP="00FE2383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466B8A" w:rsidRPr="00FE2383">
              <w:rPr>
                <w:bCs/>
                <w:lang w:val="el-GR"/>
              </w:rPr>
              <w:t>ι σημαίνει Εγκατάσταση στην τέχνη</w:t>
            </w:r>
            <w:r>
              <w:rPr>
                <w:bCs/>
                <w:lang w:val="el-GR"/>
              </w:rPr>
              <w:t>.</w:t>
            </w:r>
          </w:p>
          <w:p w14:paraId="76C800BD" w14:textId="6DFDB5B8" w:rsidR="00466B8A" w:rsidRPr="00FE2383" w:rsidRDefault="008563B0" w:rsidP="00FE2383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Πώ</w:t>
            </w:r>
            <w:r w:rsidR="00466B8A" w:rsidRPr="00FE2383">
              <w:rPr>
                <w:bCs/>
                <w:lang w:val="el-GR"/>
              </w:rPr>
              <w:t>ς χρ</w:t>
            </w:r>
            <w:r>
              <w:rPr>
                <w:bCs/>
                <w:lang w:val="el-GR"/>
              </w:rPr>
              <w:t>ησιμοποιούνται ψηφιακά εργαλεία</w:t>
            </w:r>
            <w:r w:rsidR="00466B8A" w:rsidRPr="00FE2383">
              <w:rPr>
                <w:bCs/>
                <w:lang w:val="el-GR"/>
              </w:rPr>
              <w:t xml:space="preserve"> για την παρουσίαση μιας εικαστικής πρότασης</w:t>
            </w:r>
            <w:r>
              <w:rPr>
                <w:bCs/>
                <w:lang w:val="el-GR"/>
              </w:rPr>
              <w:t>.</w:t>
            </w:r>
          </w:p>
          <w:p w14:paraId="02B8DFB7" w14:textId="77777777" w:rsidR="00511C28" w:rsidRDefault="008563B0" w:rsidP="00511C28">
            <w:pPr>
              <w:pStyle w:val="ListParagraph"/>
              <w:numPr>
                <w:ilvl w:val="0"/>
                <w:numId w:val="2"/>
              </w:numPr>
              <w:ind w:left="164" w:hanging="164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Τι σημαίνει χώρος μνήμης και πώ</w:t>
            </w:r>
            <w:r w:rsidR="00466B8A" w:rsidRPr="00FE2383">
              <w:rPr>
                <w:bCs/>
                <w:lang w:val="el-GR"/>
              </w:rPr>
              <w:t xml:space="preserve">ς </w:t>
            </w:r>
            <w:r>
              <w:rPr>
                <w:bCs/>
                <w:lang w:val="el-GR"/>
              </w:rPr>
              <w:t xml:space="preserve">οι </w:t>
            </w:r>
            <w:r w:rsidR="00466B8A" w:rsidRPr="00FE2383">
              <w:rPr>
                <w:bCs/>
                <w:lang w:val="el-GR"/>
              </w:rPr>
              <w:t>καλλιτέχνες παρεμβαίνουν σε χώρους μνήμης</w:t>
            </w:r>
            <w:r>
              <w:rPr>
                <w:bCs/>
                <w:lang w:val="el-GR"/>
              </w:rPr>
              <w:t>.</w:t>
            </w:r>
          </w:p>
          <w:p w14:paraId="6BAB46B5" w14:textId="407D94AC" w:rsidR="00511C28" w:rsidRPr="00721550" w:rsidRDefault="00721550" w:rsidP="00721550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Ολοκληρώνεται με την α</w:t>
            </w:r>
            <w:r w:rsidR="00511C28" w:rsidRPr="00721550">
              <w:rPr>
                <w:bCs/>
                <w:lang w:val="el-GR"/>
              </w:rPr>
              <w:t xml:space="preserve">νάλυση </w:t>
            </w:r>
            <w:r>
              <w:rPr>
                <w:bCs/>
                <w:lang w:val="el-GR"/>
              </w:rPr>
              <w:t xml:space="preserve">της </w:t>
            </w:r>
            <w:r w:rsidR="00511C28" w:rsidRPr="00721550">
              <w:rPr>
                <w:bCs/>
                <w:lang w:val="el-GR"/>
              </w:rPr>
              <w:t xml:space="preserve">μεθοδολογίας και </w:t>
            </w:r>
            <w:r>
              <w:rPr>
                <w:bCs/>
                <w:lang w:val="el-GR"/>
              </w:rPr>
              <w:t xml:space="preserve">των </w:t>
            </w:r>
            <w:r w:rsidR="00511C28" w:rsidRPr="00721550">
              <w:rPr>
                <w:bCs/>
                <w:lang w:val="el-GR"/>
              </w:rPr>
              <w:t>ασκήσεων που παρουσιάζονται στο εργαστηριακό μέρος του μαθήματος.</w:t>
            </w:r>
          </w:p>
          <w:p w14:paraId="675020AB" w14:textId="77777777" w:rsidR="00466B8A" w:rsidRDefault="00466B8A" w:rsidP="00466B8A">
            <w:pPr>
              <w:rPr>
                <w:b/>
                <w:bCs/>
                <w:lang w:val="el-GR"/>
              </w:rPr>
            </w:pPr>
          </w:p>
          <w:p w14:paraId="165EA6BC" w14:textId="157DA660" w:rsidR="00466B8A" w:rsidRPr="00466B8A" w:rsidRDefault="00466B8A" w:rsidP="00466B8A">
            <w:pPr>
              <w:jc w:val="both"/>
              <w:rPr>
                <w:b/>
                <w:lang w:val="el-GR"/>
              </w:rPr>
            </w:pPr>
            <w:r w:rsidRPr="00466B8A">
              <w:rPr>
                <w:b/>
                <w:lang w:val="el-GR"/>
              </w:rPr>
              <w:t>Περιεχόμενο</w:t>
            </w:r>
          </w:p>
          <w:p w14:paraId="482F3304" w14:textId="77777777" w:rsidR="00466B8A" w:rsidRPr="00466B8A" w:rsidRDefault="00466B8A" w:rsidP="00466B8A">
            <w:pPr>
              <w:jc w:val="both"/>
              <w:rPr>
                <w:lang w:val="el-GR"/>
              </w:rPr>
            </w:pPr>
            <w:r w:rsidRPr="00466B8A">
              <w:rPr>
                <w:lang w:val="el-GR"/>
              </w:rPr>
              <w:t>1. Διαφάνεια – αντανάκλαση – σκιά</w:t>
            </w:r>
          </w:p>
          <w:p w14:paraId="55C50D8C" w14:textId="58DF9C57" w:rsidR="00466B8A" w:rsidRPr="00466B8A" w:rsidRDefault="00466B8A" w:rsidP="00466B8A">
            <w:pPr>
              <w:jc w:val="both"/>
              <w:rPr>
                <w:lang w:val="el-GR"/>
              </w:rPr>
            </w:pPr>
            <w:r w:rsidRPr="00466B8A">
              <w:rPr>
                <w:lang w:val="el-GR"/>
              </w:rPr>
              <w:t>2. Φωτογραφίες με θέμα : Διαφάνεια – Αντανάκλαση – Σκιά</w:t>
            </w:r>
          </w:p>
          <w:p w14:paraId="03A59FAF" w14:textId="681439B9" w:rsidR="00466B8A" w:rsidRPr="00466B8A" w:rsidRDefault="00FE2383" w:rsidP="00466B8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3. </w:t>
            </w:r>
            <w:r w:rsidR="00466B8A" w:rsidRPr="00466B8A">
              <w:rPr>
                <w:lang w:val="el-GR"/>
              </w:rPr>
              <w:t>Ψηφιακή επεξεργασία εικόνας</w:t>
            </w:r>
          </w:p>
          <w:p w14:paraId="03EBBEAA" w14:textId="5CDF009A" w:rsidR="00466B8A" w:rsidRPr="00466B8A" w:rsidRDefault="00FE2383" w:rsidP="00466B8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4. </w:t>
            </w:r>
            <w:r w:rsidR="00466B8A" w:rsidRPr="00466B8A">
              <w:rPr>
                <w:lang w:val="el-GR"/>
              </w:rPr>
              <w:t>Εικαστικές παρεμβάσεις σε χώρους μνήμης</w:t>
            </w:r>
          </w:p>
          <w:p w14:paraId="05FE3B2E" w14:textId="7780B330" w:rsidR="00466B8A" w:rsidRPr="00466B8A" w:rsidRDefault="00A03BE4" w:rsidP="00466B8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  <w:r w:rsidR="00FE2383">
              <w:rPr>
                <w:lang w:val="el-GR"/>
              </w:rPr>
              <w:t xml:space="preserve">Α. </w:t>
            </w:r>
            <w:r w:rsidR="00466B8A" w:rsidRPr="00466B8A">
              <w:rPr>
                <w:lang w:val="el-GR"/>
              </w:rPr>
              <w:t>Περιγραφή-μεθοδολογία της άσκησης</w:t>
            </w:r>
          </w:p>
          <w:p w14:paraId="053108C4" w14:textId="55E93DD7" w:rsidR="00466B8A" w:rsidRPr="00466B8A" w:rsidRDefault="00A03BE4" w:rsidP="00466B8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  <w:r w:rsidR="00FE2383">
              <w:rPr>
                <w:lang w:val="el-GR"/>
              </w:rPr>
              <w:t xml:space="preserve">Β. </w:t>
            </w:r>
            <w:r w:rsidR="00466B8A" w:rsidRPr="00466B8A">
              <w:rPr>
                <w:lang w:val="el-GR"/>
              </w:rPr>
              <w:t>Η τέχνη της εγκατάστασης</w:t>
            </w:r>
          </w:p>
          <w:p w14:paraId="4529EB65" w14:textId="57B29FE2" w:rsidR="00466B8A" w:rsidRPr="00466B8A" w:rsidRDefault="00A03BE4" w:rsidP="00466B8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</w:t>
            </w:r>
            <w:r w:rsidR="00FE2383">
              <w:rPr>
                <w:lang w:val="el-GR"/>
              </w:rPr>
              <w:t xml:space="preserve">Γ. </w:t>
            </w:r>
            <w:r w:rsidR="00466B8A" w:rsidRPr="00466B8A">
              <w:rPr>
                <w:lang w:val="el-GR"/>
              </w:rPr>
              <w:t>Παρεμβάσεις καλλιτεχνών σε χώρους μνήμης</w:t>
            </w:r>
          </w:p>
          <w:p w14:paraId="74385143" w14:textId="6CF046F8" w:rsidR="00466B8A" w:rsidRPr="00466B8A" w:rsidRDefault="00FE2383" w:rsidP="00466B8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5. Συνέντευξη</w:t>
            </w:r>
          </w:p>
          <w:p w14:paraId="2F9273CC" w14:textId="5896EC6A" w:rsidR="00466B8A" w:rsidRPr="00466B8A" w:rsidRDefault="00C9136E" w:rsidP="00466B8A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6.&amp;7. </w:t>
            </w:r>
            <w:r w:rsidR="007A3004">
              <w:rPr>
                <w:lang w:val="el-GR"/>
              </w:rPr>
              <w:t>Παρουσίαση εικαστικές παρεμβάσεων</w:t>
            </w:r>
            <w:r w:rsidR="00466B8A" w:rsidRPr="00466B8A">
              <w:rPr>
                <w:lang w:val="el-GR"/>
              </w:rPr>
              <w:t xml:space="preserve"> σε χώρους μνήμης</w:t>
            </w:r>
          </w:p>
          <w:p w14:paraId="5B4305F3" w14:textId="77777777" w:rsidR="00466B8A" w:rsidRPr="00F421DB" w:rsidRDefault="00466B8A" w:rsidP="00466B8A">
            <w:pPr>
              <w:jc w:val="both"/>
              <w:rPr>
                <w:lang w:val="el-GR"/>
              </w:rPr>
            </w:pPr>
          </w:p>
          <w:p w14:paraId="7BD505E4" w14:textId="358A99BB" w:rsidR="005A3CCA" w:rsidRDefault="00F421DB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Το μάθημα περιλαμβάνει</w:t>
            </w:r>
            <w:r>
              <w:rPr>
                <w:b/>
                <w:lang w:val="el-GR"/>
              </w:rPr>
              <w:t xml:space="preserve"> παρουσιάσεις</w:t>
            </w:r>
            <w:r w:rsidR="004D6183">
              <w:rPr>
                <w:b/>
                <w:lang w:val="el-GR"/>
              </w:rPr>
              <w:t>, διαφάνειες, πολυμέσα, βίντεο</w:t>
            </w:r>
            <w:r w:rsidR="006769F7">
              <w:rPr>
                <w:b/>
                <w:lang w:val="el-GR"/>
              </w:rPr>
              <w:t>,</w:t>
            </w:r>
            <w:r w:rsidR="00EA5F83" w:rsidRPr="00B70D4F">
              <w:rPr>
                <w:b/>
                <w:lang w:val="el-GR"/>
              </w:rPr>
              <w:t xml:space="preserve"> ασκήσεις</w:t>
            </w:r>
            <w:r w:rsidR="006769F7">
              <w:rPr>
                <w:b/>
                <w:lang w:val="el-GR"/>
              </w:rPr>
              <w:t>, συνέντευξη και βιβλιογραφία</w:t>
            </w:r>
            <w:r w:rsidR="00FF1B85">
              <w:rPr>
                <w:lang w:val="el-GR"/>
              </w:rPr>
              <w:t>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</w:p>
          <w:p w14:paraId="3C9A30CE" w14:textId="710355AA" w:rsidR="00FF1B85" w:rsidRPr="002214CF" w:rsidRDefault="005A3CCA" w:rsidP="00F421DB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</w:t>
            </w:r>
            <w:r w:rsidR="00321D40">
              <w:rPr>
                <w:lang w:val="el-GR"/>
              </w:rPr>
              <w:t>ΑΑΜ</w:t>
            </w:r>
            <w:r w:rsidR="00CF7B9D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  <w:bookmarkStart w:id="0" w:name="_GoBack"/>
            <w:bookmarkEnd w:id="0"/>
          </w:p>
        </w:tc>
      </w:tr>
      <w:tr w:rsidR="0026628B" w:rsidRPr="00E21E35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lastRenderedPageBreak/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F5B"/>
    <w:multiLevelType w:val="hybridMultilevel"/>
    <w:tmpl w:val="374CB654"/>
    <w:lvl w:ilvl="0" w:tplc="05D06EB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104BC7"/>
    <w:multiLevelType w:val="hybridMultilevel"/>
    <w:tmpl w:val="F586C69E"/>
    <w:lvl w:ilvl="0" w:tplc="171016E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30E66"/>
    <w:rsid w:val="00140AC8"/>
    <w:rsid w:val="00171BD7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B18FE"/>
    <w:rsid w:val="002E3D27"/>
    <w:rsid w:val="003106BB"/>
    <w:rsid w:val="00321D40"/>
    <w:rsid w:val="003313E2"/>
    <w:rsid w:val="00343CF9"/>
    <w:rsid w:val="00377714"/>
    <w:rsid w:val="003A74E3"/>
    <w:rsid w:val="003B30C8"/>
    <w:rsid w:val="003C5B3A"/>
    <w:rsid w:val="00406531"/>
    <w:rsid w:val="004612B0"/>
    <w:rsid w:val="0046581C"/>
    <w:rsid w:val="00466B8A"/>
    <w:rsid w:val="00470684"/>
    <w:rsid w:val="0049407E"/>
    <w:rsid w:val="004D6183"/>
    <w:rsid w:val="004F2189"/>
    <w:rsid w:val="00511C28"/>
    <w:rsid w:val="00527118"/>
    <w:rsid w:val="005708C5"/>
    <w:rsid w:val="00583753"/>
    <w:rsid w:val="00596D39"/>
    <w:rsid w:val="005A0EC1"/>
    <w:rsid w:val="005A101E"/>
    <w:rsid w:val="005A3CCA"/>
    <w:rsid w:val="005B6049"/>
    <w:rsid w:val="005D7C09"/>
    <w:rsid w:val="005F6ED5"/>
    <w:rsid w:val="006508E7"/>
    <w:rsid w:val="006769F7"/>
    <w:rsid w:val="00685716"/>
    <w:rsid w:val="006B17D4"/>
    <w:rsid w:val="006B41EC"/>
    <w:rsid w:val="006C26B9"/>
    <w:rsid w:val="006D4EC6"/>
    <w:rsid w:val="00721550"/>
    <w:rsid w:val="00730106"/>
    <w:rsid w:val="00755707"/>
    <w:rsid w:val="00767C50"/>
    <w:rsid w:val="007A3004"/>
    <w:rsid w:val="007B52AA"/>
    <w:rsid w:val="00801767"/>
    <w:rsid w:val="00817C21"/>
    <w:rsid w:val="00824F5C"/>
    <w:rsid w:val="00843525"/>
    <w:rsid w:val="0085214E"/>
    <w:rsid w:val="00854F20"/>
    <w:rsid w:val="00855C5F"/>
    <w:rsid w:val="008563B0"/>
    <w:rsid w:val="00886D27"/>
    <w:rsid w:val="008876B8"/>
    <w:rsid w:val="008A72DE"/>
    <w:rsid w:val="008F63E9"/>
    <w:rsid w:val="00906790"/>
    <w:rsid w:val="009754E4"/>
    <w:rsid w:val="009A02E9"/>
    <w:rsid w:val="009E61DF"/>
    <w:rsid w:val="00A03BE4"/>
    <w:rsid w:val="00A70E30"/>
    <w:rsid w:val="00A73C38"/>
    <w:rsid w:val="00A829E4"/>
    <w:rsid w:val="00AB7E52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45C14"/>
    <w:rsid w:val="00C554CD"/>
    <w:rsid w:val="00C9136E"/>
    <w:rsid w:val="00C97823"/>
    <w:rsid w:val="00CA2617"/>
    <w:rsid w:val="00CC1A9A"/>
    <w:rsid w:val="00CE2DF8"/>
    <w:rsid w:val="00CF7B9D"/>
    <w:rsid w:val="00D52300"/>
    <w:rsid w:val="00D53C1F"/>
    <w:rsid w:val="00DB33FD"/>
    <w:rsid w:val="00DD5B49"/>
    <w:rsid w:val="00DE7EED"/>
    <w:rsid w:val="00E21E35"/>
    <w:rsid w:val="00E273D2"/>
    <w:rsid w:val="00E750EC"/>
    <w:rsid w:val="00E75A5F"/>
    <w:rsid w:val="00E97DD3"/>
    <w:rsid w:val="00EA5F83"/>
    <w:rsid w:val="00EC2CA6"/>
    <w:rsid w:val="00EE21B8"/>
    <w:rsid w:val="00EE4D4B"/>
    <w:rsid w:val="00EE4DCB"/>
    <w:rsid w:val="00F04254"/>
    <w:rsid w:val="00F421DB"/>
    <w:rsid w:val="00F47D64"/>
    <w:rsid w:val="00F56C86"/>
    <w:rsid w:val="00F77382"/>
    <w:rsid w:val="00F94281"/>
    <w:rsid w:val="00FA3F4A"/>
    <w:rsid w:val="00FC6011"/>
    <w:rsid w:val="00FE2383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p.teiath.gr/courses/DIAK_UNDER10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22</cp:revision>
  <dcterms:created xsi:type="dcterms:W3CDTF">2020-04-03T19:31:00Z</dcterms:created>
  <dcterms:modified xsi:type="dcterms:W3CDTF">2020-04-04T08:52:00Z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